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F5" w:rsidRDefault="00FC0CF5" w:rsidP="00FC0CF5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sz w:val="22"/>
          <w:szCs w:val="22"/>
          <w:lang w:eastAsia="ar-SA" w:bidi="ar-SA"/>
        </w:rPr>
        <w:t>PROJETO DE LEI N° XXX/2018</w:t>
      </w:r>
    </w:p>
    <w:p w:rsidR="00FC0CF5" w:rsidRDefault="00FC0CF5" w:rsidP="00FC0CF5">
      <w:pPr>
        <w:autoSpaceDE w:val="0"/>
        <w:spacing w:before="10" w:after="1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ind w:left="5387"/>
        <w:jc w:val="both"/>
      </w:pPr>
      <w:r>
        <w:rPr>
          <w:rFonts w:ascii="Arial" w:hAnsi="Arial" w:cs="Arial"/>
          <w:sz w:val="22"/>
          <w:szCs w:val="22"/>
        </w:rPr>
        <w:t>Estima a Receita e Fixa a Despesa do Município para o exercício financeiro de 2019.</w:t>
      </w:r>
    </w:p>
    <w:p w:rsidR="00FC0CF5" w:rsidRDefault="00FC0CF5" w:rsidP="00FC0CF5">
      <w:pPr>
        <w:pStyle w:val="Recuodecorpodetexto"/>
        <w:spacing w:before="10" w:after="10" w:line="276" w:lineRule="auto"/>
        <w:ind w:left="4536" w:firstLine="0"/>
        <w:jc w:val="both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ind w:left="57" w:right="57"/>
        <w:jc w:val="center"/>
        <w:rPr>
          <w:rFonts w:ascii="Arial" w:hAnsi="Arial" w:cs="Arial"/>
          <w:b/>
          <w:bCs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ind w:left="57" w:right="57"/>
        <w:jc w:val="center"/>
      </w:pPr>
      <w:r>
        <w:rPr>
          <w:rFonts w:ascii="Arial" w:hAnsi="Arial" w:cs="Arial"/>
          <w:b/>
          <w:bCs/>
          <w:sz w:val="22"/>
          <w:szCs w:val="22"/>
        </w:rPr>
        <w:t>CAPÍTULO I</w:t>
      </w:r>
    </w:p>
    <w:p w:rsidR="00FC0CF5" w:rsidRDefault="00FC0CF5" w:rsidP="00FC0CF5">
      <w:pPr>
        <w:pStyle w:val="NormalWeb"/>
        <w:spacing w:before="10" w:after="10" w:line="276" w:lineRule="auto"/>
        <w:ind w:left="57" w:right="57"/>
        <w:jc w:val="center"/>
      </w:pPr>
      <w:r>
        <w:rPr>
          <w:rFonts w:ascii="Arial" w:hAnsi="Arial" w:cs="Arial"/>
          <w:b/>
          <w:bCs/>
          <w:sz w:val="22"/>
          <w:szCs w:val="22"/>
        </w:rPr>
        <w:t>DAS DISPOSIÇÕES GERAIS</w:t>
      </w:r>
    </w:p>
    <w:p w:rsidR="00FC0CF5" w:rsidRDefault="00FC0CF5" w:rsidP="00FC0CF5">
      <w:pPr>
        <w:pStyle w:val="NormalWeb"/>
        <w:spacing w:before="10" w:after="10" w:line="276" w:lineRule="auto"/>
        <w:ind w:left="4536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1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Esta Lei estima a receita e fixa a despesa do Município para o exercício financeiro de 2019, referentes aos Poderes do Município, seus fundos, órgãos e entidades da Administração Indireta.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Constituem anexos e fazem parte desta Lei: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I – Demonstrativo da receita e da despesa do Município para o exercício a que se refere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proposta e os dois seguintes, a receita realizada dos três últimos exercícios encerrados e a prevista para o ano corrente;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II - Metodologia e premissa de cálculos realizados, nos termos do que dispõe o art. 12 da Lei Complementar </w:t>
      </w:r>
      <w:proofErr w:type="gramStart"/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101</w:t>
      </w:r>
      <w:proofErr w:type="gramEnd"/>
      <w:r>
        <w:rPr>
          <w:rFonts w:ascii="Arial" w:hAnsi="Arial" w:cs="Arial"/>
          <w:sz w:val="22"/>
          <w:szCs w:val="22"/>
        </w:rPr>
        <w:t>, de 2000 (LRF);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III – Demonstrativo da Receita Corrente Líquida (RCL) projetada para 2019 (LRF, art. 12, § 3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IV – Anexos orçamentários 1, 2, 6, 7, 8 e 9 da Lei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4.320, de 1964;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V - Descrição sucinta de cada unidade administrativa e de suas principais finalidades com indicação da respectiva legislação (parágrafo único do art. 22 da Lei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4.320, de 1964);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VI - Quadro discriminativo da receita por fontes e respectiva legislação (inciso III, do §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do art. 2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da Lei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4.320, de 1964);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VII - </w:t>
      </w:r>
      <w:proofErr w:type="gramStart"/>
      <w:r>
        <w:rPr>
          <w:rFonts w:ascii="Arial" w:hAnsi="Arial" w:cs="Arial"/>
          <w:sz w:val="22"/>
          <w:szCs w:val="22"/>
        </w:rPr>
        <w:t>Quadros demonstrativos da receita e planos de aplicação dos fundos especiais</w:t>
      </w:r>
      <w:proofErr w:type="gramEnd"/>
      <w:r>
        <w:rPr>
          <w:rFonts w:ascii="Arial" w:hAnsi="Arial" w:cs="Arial"/>
          <w:sz w:val="22"/>
          <w:szCs w:val="22"/>
        </w:rPr>
        <w:t xml:space="preserve"> (inciso I, do § 2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do art. 2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da Lei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4.320, de 1964);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VIII - Demonstrativo da estimativa e compensação da renúncia da receita (LRF, art. 5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II</w:t>
      </w:r>
      <w:proofErr w:type="gramStart"/>
      <w:r>
        <w:rPr>
          <w:rFonts w:ascii="Arial" w:hAnsi="Arial" w:cs="Arial"/>
          <w:sz w:val="22"/>
          <w:szCs w:val="22"/>
        </w:rPr>
        <w:t>)</w:t>
      </w:r>
      <w:proofErr w:type="gramEnd"/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IX - Demonstrativo da margem de expansão das despesas obrigatórias de caráter continuado (LRF, art. 5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II);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  <w:lang w:val="pt-PT"/>
        </w:rPr>
        <w:t>X - Anexo de compatibilidade do orçamento com o anexo de metas fiscais (LRF, art. 5</w:t>
      </w:r>
      <w:r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>
        <w:rPr>
          <w:rFonts w:ascii="Arial" w:hAnsi="Arial" w:cs="Arial"/>
          <w:sz w:val="22"/>
          <w:szCs w:val="22"/>
          <w:lang w:val="pt-PT"/>
        </w:rPr>
        <w:t>, I);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  <w:lang w:val="pt-PT"/>
        </w:rPr>
        <w:t>XI – Anexo demonstrativo da despesa com pessoal do Executivo, do Legislativo e consolidado do Município orçado para 2019;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  <w:rPr>
          <w:lang w:val="pt-PT"/>
        </w:rPr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  <w:lang w:val="pt-PT"/>
        </w:rPr>
        <w:t>XII – Relação dos compromissos (convênios e contratos) firmados para 2019 com os respectivos créditos orçamentários;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  <w:lang w:val="pt-PT"/>
        </w:rPr>
        <w:lastRenderedPageBreak/>
        <w:t>XIII – Anexo demonstrativo da receita e da despesa por destinação e fonte de recursos.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  <w:lang w:val="pt-PT"/>
        </w:rPr>
        <w:t>XIV – Anexo com os Programas de Governo para 2019 (Programas Temáticos e Programas de Gestão e Manutenção).</w:t>
      </w:r>
    </w:p>
    <w:p w:rsidR="00FC0CF5" w:rsidRDefault="00FC0CF5" w:rsidP="00FC0CF5">
      <w:pPr>
        <w:widowControl/>
        <w:suppressAutoHyphens w:val="0"/>
        <w:spacing w:before="10" w:after="10" w:line="276" w:lineRule="auto"/>
        <w:ind w:firstLine="1134"/>
      </w:pPr>
      <w:r>
        <w:rPr>
          <w:rFonts w:ascii="Arial" w:eastAsia="Times New Roman" w:hAnsi="Arial" w:cs="Arial"/>
          <w:sz w:val="22"/>
          <w:szCs w:val="22"/>
          <w:lang w:val="pt-PT" w:bidi="ar-SA"/>
        </w:rPr>
        <w:t>XV – Anexos de Riscos Fiscais e providências.</w:t>
      </w:r>
    </w:p>
    <w:p w:rsidR="00FC0CF5" w:rsidRDefault="00FC0CF5" w:rsidP="00FC0CF5">
      <w:pPr>
        <w:widowControl/>
        <w:suppressAutoHyphens w:val="0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§2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PT" w:bidi="ar-SA"/>
        </w:rPr>
        <w:t xml:space="preserve">Os anexos X e XV, deste artigo </w:t>
      </w:r>
      <w:proofErr w:type="gramStart"/>
      <w:r>
        <w:rPr>
          <w:rFonts w:ascii="Arial" w:eastAsia="Times New Roman" w:hAnsi="Arial" w:cs="Arial"/>
          <w:sz w:val="22"/>
          <w:szCs w:val="22"/>
          <w:lang w:val="pt-PT" w:bidi="ar-SA"/>
        </w:rPr>
        <w:t>atualiza</w:t>
      </w:r>
      <w:proofErr w:type="gramEnd"/>
      <w:r>
        <w:rPr>
          <w:rFonts w:ascii="Arial" w:eastAsia="Times New Roman" w:hAnsi="Arial" w:cs="Arial"/>
          <w:sz w:val="22"/>
          <w:szCs w:val="22"/>
          <w:lang w:val="pt-PT" w:bidi="ar-SA"/>
        </w:rPr>
        <w:t xml:space="preserve"> os valores relativos às metas de resultados fiscais do anexo de metas fiscais de que trata a Lei de Diretrizes Orçamentárias, nos termos do art. 4o, § 1o da LRF.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  <w:rPr>
          <w:lang w:val="pt-PT"/>
        </w:rPr>
      </w:pPr>
    </w:p>
    <w:p w:rsidR="00FC0CF5" w:rsidRDefault="00FC0CF5" w:rsidP="00FC0CF5">
      <w:pPr>
        <w:widowControl/>
        <w:suppressAutoHyphens w:val="0"/>
        <w:spacing w:before="10" w:after="10"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CAPÍTULO II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DO ORÇAMENTO FISCAL E DA SEGURIDADE SOCIAL</w:t>
      </w:r>
    </w:p>
    <w:p w:rsidR="00FC0CF5" w:rsidRDefault="00FC0CF5" w:rsidP="00FC0CF5">
      <w:pPr>
        <w:pStyle w:val="NormalWeb"/>
        <w:spacing w:before="10" w:after="10" w:line="276" w:lineRule="auto"/>
        <w:ind w:firstLine="851"/>
        <w:jc w:val="both"/>
        <w:rPr>
          <w:b/>
        </w:rPr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eastAsia="Arial Unicode MS" w:hAnsi="Arial" w:cs="Arial"/>
          <w:b/>
          <w:bCs/>
          <w:sz w:val="22"/>
          <w:szCs w:val="22"/>
        </w:rPr>
        <w:t>Art. 2</w:t>
      </w:r>
      <w:r>
        <w:rPr>
          <w:rFonts w:ascii="Arial" w:eastAsia="Arial Unicode MS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eastAsia="Arial Unicode MS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proofErr w:type="gramStart"/>
      <w:r>
        <w:rPr>
          <w:rFonts w:ascii="Arial" w:eastAsia="Arial Unicode MS" w:hAnsi="Arial" w:cs="Arial"/>
          <w:sz w:val="22"/>
          <w:szCs w:val="22"/>
        </w:rPr>
        <w:t>n</w:t>
      </w:r>
      <w:r>
        <w:rPr>
          <w:rFonts w:ascii="Arial" w:eastAsia="Arial Unicode MS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eastAsia="Arial Unicode MS" w:hAnsi="Arial" w:cs="Arial"/>
          <w:sz w:val="22"/>
          <w:szCs w:val="22"/>
        </w:rPr>
        <w:t xml:space="preserve"> 101</w:t>
      </w:r>
      <w:proofErr w:type="gramEnd"/>
      <w:r>
        <w:rPr>
          <w:rFonts w:ascii="Arial" w:eastAsia="Arial Unicode MS" w:hAnsi="Arial" w:cs="Arial"/>
          <w:sz w:val="22"/>
          <w:szCs w:val="22"/>
        </w:rPr>
        <w:t>, de 2000, art. 1</w:t>
      </w:r>
      <w:r>
        <w:rPr>
          <w:rFonts w:ascii="Arial" w:eastAsia="Arial Unicode MS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eastAsia="Arial Unicode MS" w:hAnsi="Arial" w:cs="Arial"/>
          <w:sz w:val="22"/>
          <w:szCs w:val="22"/>
        </w:rPr>
        <w:t>, §1</w:t>
      </w:r>
      <w:r>
        <w:rPr>
          <w:rFonts w:ascii="Arial" w:eastAsia="Arial Unicode MS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eastAsia="Arial Unicode MS" w:hAnsi="Arial" w:cs="Arial"/>
          <w:sz w:val="22"/>
          <w:szCs w:val="22"/>
        </w:rPr>
        <w:t>, fica estabelecido em igual valor entre a receita estimada e a soma da despesa fixada acrescida da(s) reserva(s) de contingência(s).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3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A diferença apurada entre a receita e a despesa, conjugada a reserva de contingência, na administração direta e nas entidades da administração Indireta refere-se às transferências financeiras (interferências) entre estes órgãos e entidades da administração indireta.</w:t>
      </w: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CAPÍTULO III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DA APRESENTAÇÃO E ALTERAÇÃO DO ORÇAMENTO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Seção I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Da Classificação Orçamentária da Receita e da Despesa</w:t>
      </w:r>
    </w:p>
    <w:p w:rsidR="00FC0CF5" w:rsidRDefault="00FC0CF5" w:rsidP="00FC0CF5">
      <w:pPr>
        <w:pStyle w:val="NormalWeb"/>
        <w:spacing w:before="10" w:after="10" w:line="276" w:lineRule="auto"/>
        <w:ind w:firstLine="737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4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Fica ao Poder Executivo autorizado a desdobrar a receita orçamentária para acompanhamento da execução do orçamento.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5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. A despesa fixada, inclusive as dotações das entidades da administração indireta e empresas estatais dependentes, são dispostas em dotações orçamentárias atribuídas a créditos orçamentários organizados pela classificação da despesa institucional, estrutura programática e natureza da despesa até o nível de modalidade de aplicação.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Considerar-se-á créditos adicionais especiais, para efeitos desta Lei, e em conformidade com a Portaria </w:t>
      </w:r>
      <w:proofErr w:type="gramStart"/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163</w:t>
      </w:r>
      <w:proofErr w:type="gramEnd"/>
      <w:r>
        <w:rPr>
          <w:rFonts w:ascii="Arial" w:hAnsi="Arial" w:cs="Arial"/>
          <w:sz w:val="22"/>
          <w:szCs w:val="22"/>
        </w:rPr>
        <w:t>, de 2001, art. 6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da Secretaria do Tesouro Nacional o crédito orçamentário criado em nível de modalidade de aplicação.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lastRenderedPageBreak/>
        <w:t>§2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O Executivo, Autarquia Municipal de Turismo - </w:t>
      </w:r>
      <w:proofErr w:type="spellStart"/>
      <w:r>
        <w:rPr>
          <w:rFonts w:ascii="Arial" w:hAnsi="Arial" w:cs="Arial"/>
          <w:sz w:val="22"/>
          <w:szCs w:val="22"/>
        </w:rPr>
        <w:t>Gramadotur</w:t>
      </w:r>
      <w:proofErr w:type="spellEnd"/>
      <w:r>
        <w:rPr>
          <w:rFonts w:ascii="Arial" w:hAnsi="Arial" w:cs="Arial"/>
          <w:sz w:val="22"/>
          <w:szCs w:val="22"/>
        </w:rPr>
        <w:t xml:space="preserve"> e o Legislativo, após a aprovação do orçamento, elaborarão o Quadro de Detalhamento da Despesa (QDD), até o nível de elementos e desdobramentos, por Decreto e Resolução, podendo alterar durante a execução orçamentária pelos mesmos atos que os instituíram.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§3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O Executivo poderá, por ato próprio, em relação à sua execução orçamentária, criar e modificar as destinações e fontes de recursos.</w:t>
      </w: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Seção II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Da Autorização para Abertura de Créditos Suplementares</w:t>
      </w: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6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Fica o Poder Executivo autorizado a abrir créditos suplementares, por Decreto, na Administração Direta e </w:t>
      </w:r>
      <w:proofErr w:type="gramStart"/>
      <w:r>
        <w:rPr>
          <w:rFonts w:ascii="Arial" w:hAnsi="Arial" w:cs="Arial"/>
          <w:sz w:val="22"/>
          <w:szCs w:val="22"/>
        </w:rPr>
        <w:t>Indireta, observados</w:t>
      </w:r>
      <w:proofErr w:type="gramEnd"/>
      <w:r>
        <w:rPr>
          <w:rFonts w:ascii="Arial" w:hAnsi="Arial" w:cs="Arial"/>
          <w:sz w:val="22"/>
          <w:szCs w:val="22"/>
        </w:rPr>
        <w:t xml:space="preserve"> os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8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9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e 13 da Lei Complementar </w:t>
      </w:r>
      <w:proofErr w:type="gramStart"/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101</w:t>
      </w:r>
      <w:proofErr w:type="gramEnd"/>
      <w:r>
        <w:rPr>
          <w:rFonts w:ascii="Arial" w:hAnsi="Arial" w:cs="Arial"/>
          <w:sz w:val="22"/>
          <w:szCs w:val="22"/>
        </w:rPr>
        <w:t>, de 2000, mediante a utilização dos recursos: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 - da anulação parcial ou total de dotações orçamentárias, nos termos do art. 43, §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inciso III, da Lei n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 xml:space="preserve">o </w:t>
      </w:r>
      <w:r>
        <w:rPr>
          <w:rFonts w:ascii="Arial" w:hAnsi="Arial" w:cs="Arial"/>
          <w:sz w:val="22"/>
          <w:szCs w:val="22"/>
        </w:rPr>
        <w:t>4.320, de 17 de março de 1964, até o limite de 35% (trinta e cinco por cento) do somatório da receita total projetada, inclusive a previsão adicional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re-estimativa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), ou despesa fixada no caso de entidades que não possuam receitas próprias, sendo </w:t>
      </w:r>
      <w:r>
        <w:rPr>
          <w:rFonts w:ascii="Arial" w:hAnsi="Arial" w:cs="Arial"/>
          <w:color w:val="000000"/>
          <w:sz w:val="22"/>
          <w:szCs w:val="22"/>
        </w:rPr>
        <w:t>vedado o cancelamento de valores incluídos ou acrescidos em decorrência da aprovação de emendas individuais impositivas a Lei Orçamentária Anual;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II - da Reserva de Contingência, com valores específicos para este fim no anexo de riscos fiscais;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III - de excesso de arrecadação proveniente: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a) de receitas vinculadas arrecadadas e a arrecadar, desde que para alocação nos mesmos créditos orçamentários em que os recursos dessas fontes foram originalmente programados;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b) de recursos livres;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IV - superávit financeiro apurado em balanço do exercício anterior, de acordo com as vinculações originais.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As transferências financeiras às Entidades da Administração Indireta, e estas à Administração Direta, poderão ser aumentadas por decreto até o limite de 40% (quarenta por cento) em relação à previsão inicial, mediante redução de outra transferência ou dotação consignada no orçamento do Órgão ou Entidade transferidor.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§2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O limite para a abertura de créditos suplementares de que trata este artigo, no inciso I, é autorizado individualmente para a administração direta e para cada entidade da administração indireta.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sz w:val="22"/>
          <w:szCs w:val="22"/>
        </w:rPr>
        <w:t>§3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Poderão ser utilizadas, para efeitos de créditos adicionais, reduções de valores atribuídos a créditos orçamentários de diferentes unidades gestoras do orçamento (administração direta e indireta), sendo que os créditos adicionais que envolvam o Poder Legislativo deverão possuir autorização expressa </w:t>
      </w:r>
      <w:proofErr w:type="gramStart"/>
      <w:r>
        <w:rPr>
          <w:rFonts w:ascii="Arial" w:hAnsi="Arial" w:cs="Arial"/>
          <w:sz w:val="22"/>
          <w:szCs w:val="22"/>
        </w:rPr>
        <w:t>daquele Poder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CAPÍTULO IV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DAS DISPOSIÇÕES FINAIS</w:t>
      </w: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>Art. 7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 Lei entra em vigor na data de sua publicação.</w:t>
      </w: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both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sz w:val="22"/>
          <w:szCs w:val="22"/>
        </w:rPr>
        <w:t>Gramado, 29 de outubro de 2018.</w:t>
      </w:r>
    </w:p>
    <w:p w:rsidR="00FC0CF5" w:rsidRDefault="00FC0CF5" w:rsidP="00FC0CF5">
      <w:pPr>
        <w:pStyle w:val="NormalWeb"/>
        <w:spacing w:before="10" w:after="10" w:line="276" w:lineRule="auto"/>
        <w:jc w:val="center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jc w:val="center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jc w:val="center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pStyle w:val="NormalWeb"/>
        <w:spacing w:before="10" w:after="10" w:line="276" w:lineRule="auto"/>
        <w:ind w:firstLine="1134"/>
        <w:jc w:val="center"/>
      </w:pP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</w:rPr>
        <w:t>João Alfredo de Castilhos Bertolucci</w:t>
      </w:r>
    </w:p>
    <w:p w:rsidR="00FC0CF5" w:rsidRDefault="00FC0CF5" w:rsidP="00FC0CF5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Prefeito de Gramado</w:t>
      </w: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rPr>
          <w:rFonts w:ascii="Arial" w:hAnsi="Arial" w:cs="Arial"/>
          <w:sz w:val="22"/>
          <w:szCs w:val="22"/>
        </w:rPr>
      </w:pPr>
    </w:p>
    <w:p w:rsidR="00FC0CF5" w:rsidRDefault="00FC0CF5" w:rsidP="00FC0CF5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Exma. </w:t>
      </w:r>
      <w:proofErr w:type="gramStart"/>
      <w:r>
        <w:rPr>
          <w:rFonts w:ascii="Arial" w:eastAsia="Times New Roman" w:hAnsi="Arial" w:cs="Arial"/>
          <w:b/>
          <w:sz w:val="22"/>
          <w:szCs w:val="22"/>
          <w:lang w:eastAsia="ar-SA"/>
        </w:rPr>
        <w:t>Sra.</w:t>
      </w:r>
      <w:proofErr w:type="gramEnd"/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Presidente</w:t>
      </w:r>
    </w:p>
    <w:p w:rsidR="00FC0CF5" w:rsidRDefault="00FC0CF5" w:rsidP="00FC0CF5">
      <w:pPr>
        <w:spacing w:before="10" w:after="1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FC0CF5" w:rsidRDefault="00FC0CF5" w:rsidP="00FC0CF5">
      <w:pPr>
        <w:spacing w:before="10" w:after="10" w:line="276" w:lineRule="auto"/>
        <w:jc w:val="both"/>
      </w:pPr>
      <w:r>
        <w:rPr>
          <w:rFonts w:ascii="Arial" w:eastAsia="Times New Roman" w:hAnsi="Arial" w:cs="Arial"/>
          <w:sz w:val="22"/>
          <w:szCs w:val="22"/>
          <w:lang w:eastAsia="ar-SA"/>
        </w:rPr>
        <w:tab/>
      </w:r>
      <w:r>
        <w:rPr>
          <w:rFonts w:ascii="Arial" w:eastAsia="Times New Roman" w:hAnsi="Arial" w:cs="Arial"/>
          <w:sz w:val="22"/>
          <w:szCs w:val="22"/>
          <w:lang w:eastAsia="ar-SA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>João Alfredo de Castilhos Bertolucci</w:t>
      </w:r>
      <w:r>
        <w:rPr>
          <w:rFonts w:ascii="Arial" w:eastAsia="Times New Roman" w:hAnsi="Arial" w:cs="Arial"/>
          <w:sz w:val="22"/>
          <w:szCs w:val="22"/>
        </w:rPr>
        <w:t xml:space="preserve">, Prefeito de Gramado, 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no uso de suas atribuições legais, vem respeitosamente à presença dos Nobres </w:t>
      </w:r>
      <w:proofErr w:type="gramStart"/>
      <w:r>
        <w:rPr>
          <w:rFonts w:ascii="Arial" w:eastAsia="Times New Roman" w:hAnsi="Arial" w:cs="Arial"/>
          <w:sz w:val="22"/>
          <w:szCs w:val="22"/>
          <w:lang w:eastAsia="ar-SA"/>
        </w:rPr>
        <w:t>Edis</w:t>
      </w:r>
      <w:proofErr w:type="gramEnd"/>
      <w:r>
        <w:rPr>
          <w:rFonts w:ascii="Arial" w:eastAsia="Times New Roman" w:hAnsi="Arial" w:cs="Arial"/>
          <w:sz w:val="22"/>
          <w:szCs w:val="22"/>
          <w:lang w:eastAsia="ar-SA"/>
        </w:rPr>
        <w:t>, apresentar o seguinte projeto de lei:</w:t>
      </w:r>
    </w:p>
    <w:p w:rsidR="00FC0CF5" w:rsidRDefault="00FC0CF5" w:rsidP="00FC0CF5">
      <w:pPr>
        <w:pStyle w:val="Recuodecorpodetexto"/>
        <w:spacing w:before="10" w:after="10" w:line="276" w:lineRule="auto"/>
        <w:ind w:left="5103" w:firstLine="0"/>
        <w:jc w:val="both"/>
      </w:pP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Estima a Receita e Fixa a Despesa do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lastRenderedPageBreak/>
        <w:t>Município para o exercício financeiro de 2019.</w:t>
      </w:r>
    </w:p>
    <w:p w:rsidR="00FC0CF5" w:rsidRDefault="00FC0CF5" w:rsidP="00FC0CF5">
      <w:pPr>
        <w:pStyle w:val="Recuodecorpodetexto"/>
        <w:spacing w:before="10" w:after="10" w:line="276" w:lineRule="auto"/>
        <w:ind w:left="5103" w:firstLine="0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:rsidR="00FC0CF5" w:rsidRDefault="00FC0CF5" w:rsidP="00FC0CF5">
      <w:pPr>
        <w:pStyle w:val="Textopadro"/>
        <w:spacing w:before="10" w:after="10" w:line="276" w:lineRule="auto"/>
        <w:jc w:val="both"/>
      </w:pPr>
      <w:r>
        <w:rPr>
          <w:rFonts w:ascii="Arial" w:eastAsia="Times New Roman" w:hAnsi="Arial" w:cs="Arial"/>
          <w:bCs/>
          <w:i/>
          <w:sz w:val="22"/>
          <w:szCs w:val="22"/>
          <w:shd w:val="clear" w:color="auto" w:fill="FFFFFF"/>
          <w:lang w:eastAsia="ar-SA"/>
        </w:rPr>
        <w:tab/>
      </w:r>
      <w:r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ar-SA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Através do presente projeto de lei, o Executivo Municipal vem solicitar a esta Egrégia Casa Legislativa, apreciação ao Projeto de Lei que estima a receita e autoriza a despesa do Município de Gramado para o exercício financeiro de 2019. </w:t>
      </w:r>
    </w:p>
    <w:p w:rsidR="00FC0CF5" w:rsidRDefault="00FC0CF5" w:rsidP="00FC0CF5">
      <w:pPr>
        <w:pStyle w:val="Textopadro"/>
        <w:spacing w:before="10" w:after="1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</w:pPr>
    </w:p>
    <w:p w:rsidR="00FC0CF5" w:rsidRDefault="00FC0CF5" w:rsidP="00FC0CF5">
      <w:pPr>
        <w:pStyle w:val="Corpodetexto"/>
        <w:spacing w:before="10" w:after="10" w:line="276" w:lineRule="auto"/>
        <w:jc w:val="both"/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 xml:space="preserve"> presente projeto de lei contempla a lei orçamentária para o exercício de 2018, conforme determina a Constituição Federal e o artigo 96, inciso III da Lei Orgânica do Município.</w:t>
      </w:r>
    </w:p>
    <w:p w:rsidR="00FC0CF5" w:rsidRDefault="00FC0CF5" w:rsidP="00FC0CF5">
      <w:pPr>
        <w:pStyle w:val="Corpodetexto"/>
        <w:spacing w:before="10" w:after="10"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FC0CF5" w:rsidRDefault="00FC0CF5" w:rsidP="00FC0CF5">
      <w:pPr>
        <w:pStyle w:val="Corpodetexto"/>
        <w:spacing w:before="10" w:after="10" w:line="276" w:lineRule="auto"/>
        <w:jc w:val="both"/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Acompanha o presente, a documentação referente à audiência pública referente ao processo de elaboração do orçamento municipal, conforme determina o art. 48, inciso I da Lei Complementar nº 101, de 04 de maio de 2000.</w:t>
      </w:r>
    </w:p>
    <w:p w:rsidR="00FC0CF5" w:rsidRDefault="00FC0CF5" w:rsidP="00FC0CF5">
      <w:pPr>
        <w:pStyle w:val="Corpodetexto"/>
        <w:spacing w:before="10" w:after="10"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FC0CF5" w:rsidRDefault="00FC0CF5" w:rsidP="00FC0CF5">
      <w:pPr>
        <w:pStyle w:val="Corpodetexto"/>
        <w:spacing w:before="10" w:after="10" w:line="276" w:lineRule="auto"/>
        <w:jc w:val="both"/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Contando com a apreciação e </w:t>
      </w: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consequente aprovação do presente projeto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de lei, aproveitamos o ensejo para renovar nossos votos de elevada estima e distinta consideração.</w:t>
      </w:r>
    </w:p>
    <w:p w:rsidR="00FC0CF5" w:rsidRDefault="00FC0CF5" w:rsidP="00FC0CF5">
      <w:pPr>
        <w:spacing w:before="10" w:after="10" w:line="276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FC0CF5" w:rsidRDefault="00FC0CF5" w:rsidP="00FC0CF5">
      <w:pPr>
        <w:spacing w:before="10" w:after="10" w:line="276" w:lineRule="auto"/>
        <w:jc w:val="center"/>
      </w:pPr>
      <w:r>
        <w:rPr>
          <w:rFonts w:ascii="Arial" w:eastAsia="Times New Roman" w:hAnsi="Arial" w:cs="Arial"/>
          <w:sz w:val="22"/>
          <w:szCs w:val="22"/>
        </w:rPr>
        <w:t>Gramado, 29 de outubro de 2018.</w:t>
      </w:r>
    </w:p>
    <w:p w:rsidR="00FC0CF5" w:rsidRDefault="00FC0CF5" w:rsidP="00FC0CF5">
      <w:pPr>
        <w:pStyle w:val="Textopadro"/>
        <w:spacing w:before="10" w:after="10" w:line="276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FC0CF5" w:rsidRDefault="00FC0CF5" w:rsidP="00FC0CF5">
      <w:pPr>
        <w:pStyle w:val="Textopadro"/>
        <w:spacing w:before="10" w:after="10" w:line="276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FC0CF5" w:rsidRDefault="00FC0CF5" w:rsidP="00FC0CF5">
      <w:pPr>
        <w:pStyle w:val="Textopadro"/>
        <w:spacing w:before="10" w:after="10" w:line="276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FC0CF5" w:rsidRDefault="00FC0CF5" w:rsidP="00FC0CF5">
      <w:pPr>
        <w:pStyle w:val="Textopadro"/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sz w:val="22"/>
          <w:szCs w:val="22"/>
        </w:rPr>
        <w:t>João Alfredo de Castilhos Bertolucci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FC0CF5" w:rsidRDefault="00FC0CF5" w:rsidP="00FC0CF5">
      <w:pPr>
        <w:pStyle w:val="Textopadro"/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Prefeito de Gramado</w:t>
      </w:r>
    </w:p>
    <w:p w:rsidR="00FC0CF5" w:rsidRDefault="00FC0CF5" w:rsidP="00FC0CF5">
      <w:pPr>
        <w:pStyle w:val="Textopadro"/>
        <w:spacing w:before="10" w:after="10" w:line="276" w:lineRule="auto"/>
        <w:jc w:val="center"/>
      </w:pPr>
    </w:p>
    <w:p w:rsidR="00FC0CF5" w:rsidRDefault="00FC0CF5" w:rsidP="00FC0CF5">
      <w:pPr>
        <w:pStyle w:val="Textopadro"/>
        <w:spacing w:before="10" w:after="10" w:line="276" w:lineRule="auto"/>
        <w:jc w:val="center"/>
      </w:pPr>
    </w:p>
    <w:p w:rsidR="00FC0CF5" w:rsidRDefault="00FC0CF5" w:rsidP="00FC0CF5">
      <w:pPr>
        <w:pStyle w:val="Textopadro"/>
        <w:spacing w:before="10" w:after="10" w:line="276" w:lineRule="auto"/>
        <w:jc w:val="center"/>
      </w:pPr>
      <w:r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Paulo Cezar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eastAsia="ar-SA"/>
        </w:rPr>
        <w:t>Bisol</w:t>
      </w:r>
      <w:proofErr w:type="spellEnd"/>
    </w:p>
    <w:p w:rsidR="00FC0CF5" w:rsidRDefault="00FC0CF5" w:rsidP="00FC0CF5">
      <w:pPr>
        <w:spacing w:before="10" w:after="10" w:line="276" w:lineRule="auto"/>
        <w:jc w:val="center"/>
      </w:pPr>
      <w:r>
        <w:rPr>
          <w:rFonts w:ascii="Arial" w:eastAsia="Arial" w:hAnsi="Arial" w:cs="Arial"/>
          <w:b/>
          <w:bCs/>
          <w:sz w:val="20"/>
          <w:szCs w:val="20"/>
          <w:lang w:eastAsia="ar-SA"/>
        </w:rPr>
        <w:t>Secretário Municipal da Fazenda</w:t>
      </w:r>
    </w:p>
    <w:p w:rsidR="00FC0CF5" w:rsidRDefault="00FC0CF5" w:rsidP="00FC0CF5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FC0CF5" w:rsidRDefault="00FC0CF5" w:rsidP="00FC0CF5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Ciente e de Acordo:</w:t>
      </w:r>
    </w:p>
    <w:p w:rsidR="00FC0CF5" w:rsidRDefault="00FC0CF5" w:rsidP="00FC0CF5">
      <w:pPr>
        <w:spacing w:before="10" w:after="10" w:line="276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:rsidR="00FC0CF5" w:rsidRDefault="00FC0CF5" w:rsidP="00FC0CF5">
      <w:pPr>
        <w:spacing w:before="10" w:after="10" w:line="276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:rsidR="00FC0CF5" w:rsidRDefault="00FC0CF5" w:rsidP="00FC0CF5">
      <w:pPr>
        <w:spacing w:before="10" w:after="10" w:line="276" w:lineRule="auto"/>
      </w:pPr>
      <w:r>
        <w:rPr>
          <w:rFonts w:ascii="Arial" w:eastAsia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Julio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Cesar Dorneles da Silva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  <w:t xml:space="preserve">              João Gilberto Barbosa Barcellos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               Felipe Dourado</w:t>
      </w:r>
    </w:p>
    <w:p w:rsidR="00FC0CF5" w:rsidRDefault="00FC0CF5" w:rsidP="00FC0CF5">
      <w:pPr>
        <w:pStyle w:val="Corpodetexto"/>
        <w:spacing w:before="10" w:after="10" w:line="276" w:lineRule="auto"/>
      </w:pPr>
      <w: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  <w:t>Secretário Municipal da Administração         Procurador-Geral do Município             Procurador Adjunto</w:t>
      </w:r>
    </w:p>
    <w:p w:rsidR="00902CCA" w:rsidRDefault="00902CCA">
      <w:bookmarkStart w:id="0" w:name="_GoBack"/>
      <w:bookmarkEnd w:id="0"/>
    </w:p>
    <w:sectPr w:rsidR="00902CC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552" w:right="1134" w:bottom="1701" w:left="1701" w:header="142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0CF5">
    <w:pPr>
      <w:pStyle w:val="Rodap"/>
    </w:pPr>
    <w:r>
      <w:rPr>
        <w:noProof/>
        <w:lang w:eastAsia="pt-BR" w:bidi="ar-SA"/>
      </w:rPr>
      <w:drawing>
        <wp:inline distT="0" distB="0" distL="0" distR="0">
          <wp:extent cx="5934075" cy="609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2" r="-5" b="-52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0CF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0CF5">
    <w:pPr>
      <w:pStyle w:val="Cabealho"/>
    </w:pPr>
    <w:r>
      <w:rPr>
        <w:noProof/>
        <w:lang w:eastAsia="pt-BR" w:bidi="ar-SA"/>
      </w:rPr>
      <w:drawing>
        <wp:inline distT="0" distB="0" distL="0" distR="0">
          <wp:extent cx="5600700" cy="1752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6" r="-11" b="-26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752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0C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5"/>
    <w:rsid w:val="0086678C"/>
    <w:rsid w:val="00902CCA"/>
    <w:rsid w:val="00EE7BD6"/>
    <w:rsid w:val="00F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F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0C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FC0CF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FC0CF5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FC0CF5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FC0CF5"/>
    <w:pPr>
      <w:spacing w:line="360" w:lineRule="auto"/>
      <w:ind w:firstLine="56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C0CF5"/>
    <w:rPr>
      <w:rFonts w:ascii="Times New Roman" w:eastAsia="Lucida Sans Unicode" w:hAnsi="Times New Roman" w:cs="Tahoma"/>
      <w:sz w:val="28"/>
      <w:szCs w:val="24"/>
      <w:lang w:eastAsia="zh-CN" w:bidi="pt-BR"/>
    </w:rPr>
  </w:style>
  <w:style w:type="paragraph" w:styleId="NormalWeb">
    <w:name w:val="Normal (Web)"/>
    <w:basedOn w:val="Normal"/>
    <w:rsid w:val="00FC0CF5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CF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CF5"/>
    <w:rPr>
      <w:rFonts w:ascii="Tahoma" w:eastAsia="Lucida Sans Unicode" w:hAnsi="Tahoma" w:cs="Tahoma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F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0C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FC0CF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FC0CF5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0CF5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FC0CF5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FC0CF5"/>
    <w:pPr>
      <w:spacing w:line="360" w:lineRule="auto"/>
      <w:ind w:firstLine="56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C0CF5"/>
    <w:rPr>
      <w:rFonts w:ascii="Times New Roman" w:eastAsia="Lucida Sans Unicode" w:hAnsi="Times New Roman" w:cs="Tahoma"/>
      <w:sz w:val="28"/>
      <w:szCs w:val="24"/>
      <w:lang w:eastAsia="zh-CN" w:bidi="pt-BR"/>
    </w:rPr>
  </w:style>
  <w:style w:type="paragraph" w:styleId="NormalWeb">
    <w:name w:val="Normal (Web)"/>
    <w:basedOn w:val="Normal"/>
    <w:rsid w:val="00FC0CF5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CF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CF5"/>
    <w:rPr>
      <w:rFonts w:ascii="Tahoma" w:eastAsia="Lucida Sans Unicode" w:hAnsi="Tahoma" w:cs="Tahoma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Sorgetz</dc:creator>
  <cp:lastModifiedBy>Georgia Sorgetz</cp:lastModifiedBy>
  <cp:revision>1</cp:revision>
  <dcterms:created xsi:type="dcterms:W3CDTF">2018-10-30T14:09:00Z</dcterms:created>
  <dcterms:modified xsi:type="dcterms:W3CDTF">2018-10-30T14:09:00Z</dcterms:modified>
</cp:coreProperties>
</file>