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404640" w:rsidRDefault="00487662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 xml:space="preserve">COMISSÃO DE CONSTITUIÇÃO, JUSTIÇA E </w:t>
      </w:r>
      <w:proofErr w:type="gramStart"/>
      <w:r w:rsidRPr="00404640">
        <w:rPr>
          <w:rFonts w:ascii="Arial" w:eastAsia="Calibri" w:hAnsi="Arial" w:cs="Arial"/>
          <w:b/>
          <w:szCs w:val="23"/>
        </w:rPr>
        <w:t>REDAÇÃO</w:t>
      </w:r>
      <w:proofErr w:type="gramEnd"/>
    </w:p>
    <w:p w:rsidR="00487662" w:rsidRPr="00404640" w:rsidRDefault="00487662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</w:rPr>
      </w:pPr>
    </w:p>
    <w:p w:rsidR="00487662" w:rsidRPr="00404640" w:rsidRDefault="00487662" w:rsidP="006D418B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Parecer:</w:t>
      </w:r>
      <w:r w:rsidRPr="00404640">
        <w:rPr>
          <w:rFonts w:ascii="Arial" w:eastAsia="Calibri" w:hAnsi="Arial" w:cs="Arial"/>
          <w:szCs w:val="23"/>
        </w:rPr>
        <w:t xml:space="preserve"> 1</w:t>
      </w:r>
      <w:r w:rsidR="00240183">
        <w:rPr>
          <w:rFonts w:ascii="Arial" w:eastAsia="Calibri" w:hAnsi="Arial" w:cs="Arial"/>
          <w:szCs w:val="23"/>
        </w:rPr>
        <w:t>61</w:t>
      </w:r>
      <w:r w:rsidRPr="00404640">
        <w:rPr>
          <w:rFonts w:ascii="Arial" w:eastAsia="Calibri" w:hAnsi="Arial" w:cs="Arial"/>
          <w:szCs w:val="23"/>
        </w:rPr>
        <w:t>/2017</w:t>
      </w:r>
    </w:p>
    <w:p w:rsidR="00487662" w:rsidRPr="00404640" w:rsidRDefault="00487662" w:rsidP="006D418B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Data:</w:t>
      </w:r>
      <w:r w:rsidRPr="00404640">
        <w:rPr>
          <w:rFonts w:ascii="Arial" w:eastAsia="Calibri" w:hAnsi="Arial" w:cs="Arial"/>
          <w:szCs w:val="23"/>
        </w:rPr>
        <w:t xml:space="preserve"> </w:t>
      </w:r>
      <w:r w:rsidR="00C20D7C" w:rsidRPr="00404640">
        <w:rPr>
          <w:rFonts w:ascii="Arial" w:eastAsia="Calibri" w:hAnsi="Arial" w:cs="Arial"/>
          <w:szCs w:val="23"/>
        </w:rPr>
        <w:t>14</w:t>
      </w:r>
      <w:r w:rsidRPr="00404640">
        <w:rPr>
          <w:rFonts w:ascii="Arial" w:eastAsia="Calibri" w:hAnsi="Arial" w:cs="Arial"/>
          <w:szCs w:val="23"/>
        </w:rPr>
        <w:t xml:space="preserve"> de </w:t>
      </w:r>
      <w:r w:rsidR="004F0611" w:rsidRPr="00404640">
        <w:rPr>
          <w:rFonts w:ascii="Arial" w:eastAsia="Calibri" w:hAnsi="Arial" w:cs="Arial"/>
          <w:szCs w:val="23"/>
        </w:rPr>
        <w:t>dez</w:t>
      </w:r>
      <w:r w:rsidRPr="00404640">
        <w:rPr>
          <w:rFonts w:ascii="Arial" w:eastAsia="Calibri" w:hAnsi="Arial" w:cs="Arial"/>
          <w:szCs w:val="23"/>
        </w:rPr>
        <w:t>embro de 2017</w:t>
      </w:r>
    </w:p>
    <w:p w:rsidR="00487662" w:rsidRPr="00404640" w:rsidRDefault="00487662" w:rsidP="006D418B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Matéria:</w:t>
      </w:r>
      <w:r w:rsidRPr="00404640">
        <w:rPr>
          <w:rFonts w:ascii="Arial" w:eastAsia="Calibri" w:hAnsi="Arial" w:cs="Arial"/>
          <w:szCs w:val="23"/>
        </w:rPr>
        <w:t xml:space="preserve"> Projeto de Lei nº 0</w:t>
      </w:r>
      <w:r w:rsidR="00C20D7C" w:rsidRPr="00404640">
        <w:rPr>
          <w:rFonts w:ascii="Arial" w:eastAsia="Calibri" w:hAnsi="Arial" w:cs="Arial"/>
          <w:szCs w:val="23"/>
        </w:rPr>
        <w:t>6</w:t>
      </w:r>
      <w:r w:rsidR="00240183">
        <w:rPr>
          <w:rFonts w:ascii="Arial" w:eastAsia="Calibri" w:hAnsi="Arial" w:cs="Arial"/>
          <w:szCs w:val="23"/>
        </w:rPr>
        <w:t>0</w:t>
      </w:r>
      <w:r w:rsidRPr="00404640">
        <w:rPr>
          <w:rFonts w:ascii="Arial" w:eastAsia="Calibri" w:hAnsi="Arial" w:cs="Arial"/>
          <w:szCs w:val="23"/>
        </w:rPr>
        <w:t xml:space="preserve">/2017 </w:t>
      </w:r>
    </w:p>
    <w:p w:rsidR="00487662" w:rsidRPr="00404640" w:rsidRDefault="00487662" w:rsidP="006D418B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Autor:</w:t>
      </w:r>
      <w:r w:rsidRPr="00404640">
        <w:rPr>
          <w:rFonts w:ascii="Arial" w:eastAsia="Calibri" w:hAnsi="Arial" w:cs="Arial"/>
          <w:szCs w:val="23"/>
        </w:rPr>
        <w:t xml:space="preserve"> Poder Executivo</w:t>
      </w:r>
    </w:p>
    <w:p w:rsidR="00487662" w:rsidRPr="00404640" w:rsidRDefault="00487662" w:rsidP="006D418B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Relator:</w:t>
      </w:r>
      <w:r w:rsidR="00375DA8" w:rsidRPr="00404640">
        <w:rPr>
          <w:rFonts w:ascii="Arial" w:eastAsia="Calibri" w:hAnsi="Arial" w:cs="Arial"/>
          <w:szCs w:val="23"/>
        </w:rPr>
        <w:tab/>
      </w:r>
      <w:r w:rsidR="00375DA8" w:rsidRPr="00404640">
        <w:rPr>
          <w:rFonts w:ascii="Arial" w:eastAsia="Calibri" w:hAnsi="Arial" w:cs="Arial"/>
          <w:szCs w:val="23"/>
        </w:rPr>
        <w:tab/>
        <w:t xml:space="preserve">     </w:t>
      </w:r>
      <w:r w:rsidR="004F0611" w:rsidRPr="00404640">
        <w:rPr>
          <w:rFonts w:ascii="Arial" w:eastAsia="Calibri" w:hAnsi="Arial" w:cs="Arial"/>
          <w:szCs w:val="23"/>
        </w:rPr>
        <w:tab/>
      </w:r>
      <w:r w:rsidRPr="00404640">
        <w:rPr>
          <w:rFonts w:ascii="Arial" w:eastAsia="Calibri" w:hAnsi="Arial" w:cs="Arial"/>
          <w:b/>
          <w:szCs w:val="23"/>
        </w:rPr>
        <w:t>Conclusão do Voto:</w:t>
      </w:r>
      <w:r w:rsidRPr="00404640">
        <w:rPr>
          <w:rFonts w:ascii="Arial" w:eastAsia="Calibri" w:hAnsi="Arial" w:cs="Arial"/>
          <w:szCs w:val="23"/>
        </w:rPr>
        <w:t xml:space="preserve"> </w:t>
      </w:r>
      <w:r w:rsidR="00375DA8" w:rsidRPr="00404640">
        <w:rPr>
          <w:rFonts w:ascii="Arial" w:eastAsia="Calibri" w:hAnsi="Arial" w:cs="Arial"/>
          <w:szCs w:val="23"/>
        </w:rPr>
        <w:t>favorável</w:t>
      </w:r>
    </w:p>
    <w:p w:rsidR="00487662" w:rsidRPr="00404640" w:rsidRDefault="00487662" w:rsidP="00240183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bCs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 xml:space="preserve">Ementa: </w:t>
      </w:r>
      <w:r w:rsidRPr="00404640">
        <w:rPr>
          <w:rFonts w:ascii="Arial" w:eastAsia="Calibri" w:hAnsi="Arial" w:cs="Arial"/>
          <w:szCs w:val="23"/>
        </w:rPr>
        <w:t>“</w:t>
      </w:r>
      <w:r w:rsidR="00240183" w:rsidRPr="00240183">
        <w:rPr>
          <w:rFonts w:ascii="Arial" w:eastAsia="Calibri" w:hAnsi="Arial" w:cs="Arial"/>
          <w:szCs w:val="23"/>
        </w:rPr>
        <w:t>Altera dispositivos da Lei nº 2.927, de 22 de junho de 2011, que disciplina a organização do sistema municipal de ensino no município de Gramado e dá outras providências</w:t>
      </w:r>
      <w:r w:rsidRPr="00404640">
        <w:rPr>
          <w:rFonts w:ascii="Arial" w:eastAsia="Calibri" w:hAnsi="Arial" w:cs="Arial"/>
          <w:iCs/>
          <w:szCs w:val="23"/>
        </w:rPr>
        <w:t>”.</w:t>
      </w:r>
    </w:p>
    <w:p w:rsidR="00487662" w:rsidRPr="00404640" w:rsidRDefault="00487662" w:rsidP="006D418B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Cs w:val="23"/>
        </w:rPr>
      </w:pPr>
    </w:p>
    <w:p w:rsidR="00487662" w:rsidRPr="00404640" w:rsidRDefault="00487662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Relatório:</w:t>
      </w:r>
    </w:p>
    <w:p w:rsidR="00487662" w:rsidRPr="00404640" w:rsidRDefault="00487662" w:rsidP="0098342C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ab/>
        <w:t xml:space="preserve">O Projeto de Lei em análise foi apresentado nesta Casa Legislativa no dia </w:t>
      </w:r>
      <w:r w:rsidR="0098342C" w:rsidRPr="00404640">
        <w:rPr>
          <w:rFonts w:ascii="Arial" w:eastAsia="Calibri" w:hAnsi="Arial" w:cs="Arial"/>
          <w:szCs w:val="23"/>
        </w:rPr>
        <w:t>04</w:t>
      </w:r>
      <w:r w:rsidRPr="00404640">
        <w:rPr>
          <w:rFonts w:ascii="Arial" w:eastAsia="Calibri" w:hAnsi="Arial" w:cs="Arial"/>
          <w:szCs w:val="23"/>
        </w:rPr>
        <w:t xml:space="preserve"> de </w:t>
      </w:r>
      <w:r w:rsidR="00C20D7C" w:rsidRPr="00404640">
        <w:rPr>
          <w:rFonts w:ascii="Arial" w:eastAsia="Calibri" w:hAnsi="Arial" w:cs="Arial"/>
          <w:szCs w:val="23"/>
        </w:rPr>
        <w:t>dez</w:t>
      </w:r>
      <w:r w:rsidR="008F7957" w:rsidRPr="00404640">
        <w:rPr>
          <w:rFonts w:ascii="Arial" w:eastAsia="Calibri" w:hAnsi="Arial" w:cs="Arial"/>
          <w:szCs w:val="23"/>
        </w:rPr>
        <w:t>em</w:t>
      </w:r>
      <w:r w:rsidRPr="00404640">
        <w:rPr>
          <w:rFonts w:ascii="Arial" w:eastAsia="Calibri" w:hAnsi="Arial" w:cs="Arial"/>
          <w:szCs w:val="23"/>
        </w:rPr>
        <w:t>bro de 2017,</w:t>
      </w:r>
      <w:r w:rsidR="008F7957" w:rsidRPr="00404640">
        <w:rPr>
          <w:rFonts w:ascii="Arial" w:eastAsia="Calibri" w:hAnsi="Arial" w:cs="Arial"/>
          <w:szCs w:val="23"/>
        </w:rPr>
        <w:t xml:space="preserve"> que</w:t>
      </w:r>
      <w:r w:rsidR="0098342C" w:rsidRPr="00404640">
        <w:rPr>
          <w:rFonts w:ascii="Arial" w:eastAsia="Calibri" w:hAnsi="Arial" w:cs="Arial"/>
          <w:szCs w:val="23"/>
        </w:rPr>
        <w:t xml:space="preserve"> requer autorização legislativa para alterar </w:t>
      </w:r>
      <w:r w:rsidR="00240183" w:rsidRPr="00240183">
        <w:rPr>
          <w:rFonts w:ascii="Arial" w:eastAsia="Calibri" w:hAnsi="Arial" w:cs="Arial"/>
          <w:szCs w:val="23"/>
        </w:rPr>
        <w:t>dispositivos da Lei nº 2.927, de 22 de junho de 2011, que disciplina a organização do sistema municipal de ensino no município de Gramado</w:t>
      </w:r>
      <w:r w:rsidR="008F7957" w:rsidRPr="00404640">
        <w:rPr>
          <w:rFonts w:ascii="Arial" w:eastAsia="Calibri" w:hAnsi="Arial" w:cs="Arial"/>
          <w:szCs w:val="23"/>
        </w:rPr>
        <w:t>.</w:t>
      </w:r>
      <w:r w:rsidR="00C20D7C" w:rsidRPr="00404640">
        <w:rPr>
          <w:rFonts w:ascii="Arial" w:eastAsia="Calibri" w:hAnsi="Arial" w:cs="Arial"/>
          <w:szCs w:val="23"/>
        </w:rPr>
        <w:t xml:space="preserve"> </w:t>
      </w:r>
      <w:r w:rsidR="0098342C" w:rsidRPr="00404640">
        <w:rPr>
          <w:rFonts w:ascii="Arial" w:eastAsia="Calibri" w:hAnsi="Arial" w:cs="Arial"/>
          <w:szCs w:val="23"/>
        </w:rPr>
        <w:t>Na justifica, aduz o Poder Executivo que,</w:t>
      </w:r>
      <w:r w:rsidR="00240183">
        <w:rPr>
          <w:rFonts w:ascii="Arial" w:eastAsia="Calibri" w:hAnsi="Arial" w:cs="Arial"/>
          <w:szCs w:val="23"/>
        </w:rPr>
        <w:t xml:space="preserve"> </w:t>
      </w:r>
      <w:r w:rsidR="00240183" w:rsidRPr="00240183">
        <w:rPr>
          <w:rFonts w:ascii="Arial" w:eastAsia="Calibri" w:hAnsi="Arial" w:cs="Arial"/>
          <w:szCs w:val="23"/>
        </w:rPr>
        <w:t xml:space="preserve">a Administração Municipal 2017/2020 objetiva oportunizar que as comunidades escolares possam realizar a escolha dos diretores e vice-diretores das escolas municipais através do </w:t>
      </w:r>
      <w:r w:rsidR="00240183" w:rsidRPr="00240183">
        <w:rPr>
          <w:rFonts w:ascii="Arial" w:eastAsia="Calibri" w:hAnsi="Arial" w:cs="Arial"/>
          <w:b/>
          <w:bCs/>
          <w:szCs w:val="23"/>
        </w:rPr>
        <w:t>processo democrático de eleição direta</w:t>
      </w:r>
      <w:r w:rsidR="00240183" w:rsidRPr="00240183">
        <w:rPr>
          <w:rFonts w:ascii="Arial" w:eastAsia="Calibri" w:hAnsi="Arial" w:cs="Arial"/>
          <w:szCs w:val="23"/>
        </w:rPr>
        <w:t>. Que a proposição ora em exame é fruto de diálogo entre o Poder Público, o Sindicato dos Servidores Municipais e os profissionais de educação, com vistas a atender ao interesse maior da coletividade, para definir os gestores educandários de nosso município. Informa, por conseguinte, que após a aprovação deste PL, a Secretaria da Educação promoverá publicação de edital para formação das chapas daqueles submetidos à escolha da comunidade escolar para dirigirem os estabelecimentos de ensino da rede pública municipal, e que tal iniciativa demanda do cumprimento da meta 19, dentro do Plano Municipal de Educação, regulamentado pela Lei Municipal nº 3.406/2015.</w:t>
      </w:r>
      <w:r w:rsidR="00240183">
        <w:rPr>
          <w:rFonts w:ascii="Arial" w:eastAsia="Calibri" w:hAnsi="Arial" w:cs="Arial"/>
          <w:szCs w:val="23"/>
        </w:rPr>
        <w:t xml:space="preserve"> </w:t>
      </w:r>
      <w:r w:rsidRPr="00404640">
        <w:rPr>
          <w:rFonts w:ascii="Arial" w:eastAsia="Calibri" w:hAnsi="Arial" w:cs="Arial"/>
          <w:szCs w:val="23"/>
        </w:rPr>
        <w:t xml:space="preserve">O projeto já foi analisado pela Procuradora Geral da Casa, a qual proferiu parecer jurídico nº </w:t>
      </w:r>
      <w:r w:rsidR="00240183">
        <w:rPr>
          <w:rFonts w:ascii="Arial" w:eastAsia="Calibri" w:hAnsi="Arial" w:cs="Arial"/>
          <w:szCs w:val="23"/>
        </w:rPr>
        <w:t>88</w:t>
      </w:r>
      <w:r w:rsidRPr="00404640">
        <w:rPr>
          <w:rFonts w:ascii="Arial" w:eastAsia="Calibri" w:hAnsi="Arial" w:cs="Arial"/>
          <w:szCs w:val="23"/>
        </w:rPr>
        <w:t>/2017</w:t>
      </w:r>
      <w:r w:rsidR="00375DA8" w:rsidRPr="00404640">
        <w:rPr>
          <w:rFonts w:ascii="Arial" w:eastAsia="Calibri" w:hAnsi="Arial" w:cs="Arial"/>
          <w:szCs w:val="23"/>
        </w:rPr>
        <w:t>,</w:t>
      </w:r>
      <w:r w:rsidRPr="00404640">
        <w:rPr>
          <w:rFonts w:ascii="Arial" w:eastAsia="Calibri" w:hAnsi="Arial" w:cs="Arial"/>
          <w:szCs w:val="23"/>
        </w:rPr>
        <w:t xml:space="preserve"> </w:t>
      </w:r>
      <w:r w:rsidR="00F527C6" w:rsidRPr="00404640">
        <w:rPr>
          <w:rFonts w:ascii="Arial" w:eastAsia="Calibri" w:hAnsi="Arial" w:cs="Arial"/>
          <w:b/>
          <w:szCs w:val="23"/>
        </w:rPr>
        <w:t>des</w:t>
      </w:r>
      <w:r w:rsidR="00375DA8" w:rsidRPr="00404640">
        <w:rPr>
          <w:rFonts w:ascii="Arial" w:hAnsi="Arial" w:cs="Arial"/>
          <w:b/>
          <w:bCs/>
          <w:szCs w:val="23"/>
        </w:rPr>
        <w:t xml:space="preserve">favorável </w:t>
      </w:r>
      <w:r w:rsidR="00375DA8" w:rsidRPr="00404640">
        <w:rPr>
          <w:rFonts w:ascii="Arial" w:hAnsi="Arial" w:cs="Arial"/>
          <w:szCs w:val="23"/>
        </w:rPr>
        <w:t>à tramitação</w:t>
      </w:r>
      <w:r w:rsidR="00C20D7C" w:rsidRPr="00404640">
        <w:rPr>
          <w:rFonts w:ascii="Arial" w:hAnsi="Arial" w:cs="Arial"/>
          <w:szCs w:val="23"/>
        </w:rPr>
        <w:t xml:space="preserve">, </w:t>
      </w:r>
      <w:r w:rsidR="00F527C6" w:rsidRPr="00404640">
        <w:rPr>
          <w:rFonts w:ascii="Arial" w:hAnsi="Arial" w:cs="Arial"/>
          <w:szCs w:val="23"/>
        </w:rPr>
        <w:t>vez que o PL 6</w:t>
      </w:r>
      <w:r w:rsidR="00240183">
        <w:rPr>
          <w:rFonts w:ascii="Arial" w:hAnsi="Arial" w:cs="Arial"/>
          <w:szCs w:val="23"/>
        </w:rPr>
        <w:t>0</w:t>
      </w:r>
      <w:r w:rsidR="00F527C6" w:rsidRPr="00404640">
        <w:rPr>
          <w:rFonts w:ascii="Arial" w:hAnsi="Arial" w:cs="Arial"/>
          <w:szCs w:val="23"/>
        </w:rPr>
        <w:t xml:space="preserve">/2017 apresenta </w:t>
      </w:r>
      <w:r w:rsidR="00F527C6" w:rsidRPr="00404640">
        <w:rPr>
          <w:rFonts w:ascii="Arial" w:hAnsi="Arial" w:cs="Arial"/>
          <w:b/>
          <w:szCs w:val="23"/>
        </w:rPr>
        <w:t>inconstitucionalidade material</w:t>
      </w:r>
      <w:r w:rsidR="00375DA8" w:rsidRPr="00404640">
        <w:rPr>
          <w:rFonts w:ascii="Arial" w:hAnsi="Arial" w:cs="Arial"/>
          <w:b/>
          <w:bCs/>
          <w:szCs w:val="23"/>
        </w:rPr>
        <w:t xml:space="preserve">. </w:t>
      </w:r>
      <w:r w:rsidRPr="00404640">
        <w:rPr>
          <w:rFonts w:ascii="Arial" w:eastAsia="Calibri" w:hAnsi="Arial" w:cs="Arial"/>
          <w:szCs w:val="23"/>
        </w:rPr>
        <w:t>Tal parecer jurídico embasa a elaboração do presente parecer.</w:t>
      </w:r>
    </w:p>
    <w:p w:rsidR="00C518D5" w:rsidRPr="00404640" w:rsidRDefault="00C518D5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</w:rPr>
      </w:pPr>
    </w:p>
    <w:p w:rsidR="00487662" w:rsidRPr="00404640" w:rsidRDefault="00487662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Análise:</w:t>
      </w:r>
    </w:p>
    <w:p w:rsidR="00487662" w:rsidRPr="00404640" w:rsidRDefault="00487662" w:rsidP="006D418B">
      <w:pPr>
        <w:spacing w:line="240" w:lineRule="auto"/>
        <w:ind w:firstLine="2268"/>
        <w:jc w:val="both"/>
        <w:rPr>
          <w:rFonts w:ascii="Arial" w:eastAsia="Calibri" w:hAnsi="Arial" w:cs="Arial"/>
          <w:b/>
          <w:szCs w:val="23"/>
          <w:u w:val="single"/>
        </w:rPr>
      </w:pPr>
      <w:r w:rsidRPr="00404640">
        <w:rPr>
          <w:rFonts w:ascii="Arial" w:eastAsia="Calibri" w:hAnsi="Arial" w:cs="Arial"/>
          <w:szCs w:val="23"/>
        </w:rPr>
        <w:t xml:space="preserve">Quando à </w:t>
      </w:r>
      <w:r w:rsidRPr="00404640">
        <w:rPr>
          <w:rFonts w:ascii="Arial" w:eastAsia="Calibri" w:hAnsi="Arial" w:cs="Arial"/>
          <w:b/>
          <w:szCs w:val="23"/>
          <w:u w:val="single"/>
        </w:rPr>
        <w:t>constitucionalidade e legalidade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Na Constituição Federal, o direito à educação está regulamentado no art. 205, que assim dispõe: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Art. 205. A educação, direito de todos e dever do Estado e da família, será promovida e incentivada com a colaboração da sociedade, visando ao pleno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lastRenderedPageBreak/>
        <w:t xml:space="preserve">desenvolvimento da pessoa, seu preparo para o exercício da cidadania e sua qualificação para o trabalho.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Também na Carta Magna é previsto como princípio norteador para ministrar o ensino, a gestão democrática do ensino público, </w:t>
      </w:r>
      <w:proofErr w:type="spellStart"/>
      <w:r w:rsidRPr="00404640">
        <w:rPr>
          <w:rFonts w:ascii="Arial" w:eastAsia="Calibri" w:hAnsi="Arial" w:cs="Arial"/>
          <w:i/>
          <w:iCs/>
          <w:szCs w:val="23"/>
        </w:rPr>
        <w:t>ex</w:t>
      </w:r>
      <w:proofErr w:type="spellEnd"/>
      <w:r w:rsidRPr="00404640">
        <w:rPr>
          <w:rFonts w:ascii="Arial" w:eastAsia="Calibri" w:hAnsi="Arial" w:cs="Arial"/>
          <w:i/>
          <w:iCs/>
          <w:szCs w:val="23"/>
        </w:rPr>
        <w:t xml:space="preserve"> positis</w:t>
      </w:r>
      <w:r w:rsidRPr="00404640">
        <w:rPr>
          <w:rFonts w:ascii="Arial" w:eastAsia="Calibri" w:hAnsi="Arial" w:cs="Arial"/>
          <w:szCs w:val="23"/>
        </w:rPr>
        <w:t xml:space="preserve">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Art. 206. O ensino será ministrado com base nos seguintes princípios: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I – igualdade de condições para o acesso e permanência na escola;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(...)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VI – gestão democrática do ensino público, na forma da lei;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Na mesma linha segue a Constituição Estadual, onde o direito à educação também está prestigiado, senão vejamos: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Art. 196. A educação, direito de todos e dever do Estado e da família, baseada na justiça social, na democracia e no respeito aos direitos humanos, ao meio ambiente e aos valores culturais, visa ao desenvolvimento do educando como pessoa e à sua qualificação para o trabalho e o exercício da cidadania.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A gestão democrática do ensino público também está regulamentada na Constituição Estadual, assim disposta: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i/>
          <w:iCs/>
          <w:szCs w:val="23"/>
        </w:rPr>
        <w:t xml:space="preserve">Art. 197. O ensino será ministrado com base nos seguintes princípios: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i/>
          <w:iCs/>
          <w:szCs w:val="23"/>
        </w:rPr>
        <w:t xml:space="preserve">(...)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i/>
          <w:iCs/>
          <w:szCs w:val="23"/>
        </w:rPr>
        <w:t xml:space="preserve">VI – gestão democrática do ensino público;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A organização do sistema municipal através da gestão democrática de ensino, além de melhoria na qualidade da educação, entre outros, estão previstos nas Diretrizes do Plano Nacional de Educação – PNE, recepcionado pelo município através da Lei Municipal nº 3.406/2015, conforme segue: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Art. 2º São diretrizes do Plano Nacional de Educação - PNE que, da mesma forma, presidem o Plano Municipal de Educação de Gramado - PME: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(...)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VI - promoção do princípio da gestão democrática da educação pública; </w:t>
      </w:r>
    </w:p>
    <w:p w:rsidR="00480303" w:rsidRDefault="00480303" w:rsidP="005C084B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80303">
        <w:rPr>
          <w:rFonts w:ascii="Arial" w:eastAsia="Calibri" w:hAnsi="Arial" w:cs="Arial"/>
          <w:szCs w:val="23"/>
        </w:rPr>
        <w:t xml:space="preserve">Portanto amplamente demonstrado que toda legislação maior adota a gestão democrática como norteador do ensino público, em todas as esferas de governo. Esse parece ser o sentido </w:t>
      </w:r>
      <w:proofErr w:type="gramStart"/>
      <w:r w:rsidRPr="00480303">
        <w:rPr>
          <w:rFonts w:ascii="Arial" w:eastAsia="Calibri" w:hAnsi="Arial" w:cs="Arial"/>
          <w:szCs w:val="23"/>
        </w:rPr>
        <w:t>da presente</w:t>
      </w:r>
      <w:proofErr w:type="gramEnd"/>
      <w:r w:rsidRPr="00480303">
        <w:rPr>
          <w:rFonts w:ascii="Arial" w:eastAsia="Calibri" w:hAnsi="Arial" w:cs="Arial"/>
          <w:szCs w:val="23"/>
        </w:rPr>
        <w:t xml:space="preserve"> propositura quando modifica a forma de seleção dos diretores e vice-diretores de escolas públicas municipais, antes pela formulação de lista tríplice, com escolha pelo Prefeito Municipal, agora passando para processo de escolha através de eleição direta. </w:t>
      </w:r>
    </w:p>
    <w:p w:rsidR="00F527C6" w:rsidRPr="00404640" w:rsidRDefault="00F527C6" w:rsidP="005C084B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Entretanto, ainda que as eleições diretas possam ser um anseio da comunidade e da Administração Municipal, e tenham consonância com a gestão democrática do ensino, temos a referir a presença de </w:t>
      </w:r>
      <w:r w:rsidRPr="00404640">
        <w:rPr>
          <w:rFonts w:ascii="Arial" w:eastAsia="Calibri" w:hAnsi="Arial" w:cs="Arial"/>
          <w:b/>
          <w:bCs/>
          <w:szCs w:val="23"/>
        </w:rPr>
        <w:t xml:space="preserve">inconstitucionalidade material </w:t>
      </w:r>
      <w:proofErr w:type="gramStart"/>
      <w:r w:rsidRPr="00404640">
        <w:rPr>
          <w:rFonts w:ascii="Arial" w:eastAsia="Calibri" w:hAnsi="Arial" w:cs="Arial"/>
          <w:szCs w:val="23"/>
        </w:rPr>
        <w:t>na presente</w:t>
      </w:r>
      <w:proofErr w:type="gramEnd"/>
      <w:r w:rsidRPr="00404640">
        <w:rPr>
          <w:rFonts w:ascii="Arial" w:eastAsia="Calibri" w:hAnsi="Arial" w:cs="Arial"/>
          <w:szCs w:val="23"/>
        </w:rPr>
        <w:t xml:space="preserve"> propositura, frente ao disposto nos artigos 8º, </w:t>
      </w:r>
      <w:r w:rsidRPr="00404640">
        <w:rPr>
          <w:rFonts w:ascii="Arial" w:eastAsia="Calibri" w:hAnsi="Arial" w:cs="Arial"/>
          <w:i/>
          <w:iCs/>
          <w:szCs w:val="23"/>
        </w:rPr>
        <w:t>caput</w:t>
      </w:r>
      <w:r w:rsidRPr="00404640">
        <w:rPr>
          <w:rFonts w:ascii="Arial" w:eastAsia="Calibri" w:hAnsi="Arial" w:cs="Arial"/>
          <w:szCs w:val="23"/>
        </w:rPr>
        <w:t xml:space="preserve">, 32, </w:t>
      </w:r>
      <w:r w:rsidRPr="00404640">
        <w:rPr>
          <w:rFonts w:ascii="Arial" w:eastAsia="Calibri" w:hAnsi="Arial" w:cs="Arial"/>
          <w:i/>
          <w:iCs/>
          <w:szCs w:val="23"/>
        </w:rPr>
        <w:t>caput</w:t>
      </w:r>
      <w:r w:rsidRPr="00404640">
        <w:rPr>
          <w:rFonts w:ascii="Arial" w:eastAsia="Calibri" w:hAnsi="Arial" w:cs="Arial"/>
          <w:szCs w:val="23"/>
        </w:rPr>
        <w:t xml:space="preserve">, e 82, inciso XVIII da Constituição Estadual, </w:t>
      </w:r>
      <w:r w:rsidRPr="00404640">
        <w:rPr>
          <w:rFonts w:ascii="Arial" w:eastAsia="Calibri" w:hAnsi="Arial" w:cs="Arial"/>
          <w:i/>
          <w:iCs/>
          <w:szCs w:val="23"/>
        </w:rPr>
        <w:t xml:space="preserve">in </w:t>
      </w:r>
      <w:proofErr w:type="spellStart"/>
      <w:r w:rsidRPr="00404640">
        <w:rPr>
          <w:rFonts w:ascii="Arial" w:eastAsia="Calibri" w:hAnsi="Arial" w:cs="Arial"/>
          <w:i/>
          <w:iCs/>
          <w:szCs w:val="23"/>
        </w:rPr>
        <w:t>verbis</w:t>
      </w:r>
      <w:proofErr w:type="spellEnd"/>
      <w:r w:rsidRPr="00404640">
        <w:rPr>
          <w:rFonts w:ascii="Arial" w:eastAsia="Calibri" w:hAnsi="Arial" w:cs="Arial"/>
          <w:szCs w:val="23"/>
        </w:rPr>
        <w:t xml:space="preserve">: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Art. 8.º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O Município, dotado de autonomia política, administrativa e financeira, reger-se-á por lei orgânica e pela legislação que adotar, observados os princípios estabelecidos na Constituição Federal e nesta Constituição.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Art. 32.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Os cargos em comissão, criados por lei em número e com </w:t>
      </w:r>
      <w:proofErr w:type="gramStart"/>
      <w:r w:rsidRPr="00404640">
        <w:rPr>
          <w:rFonts w:ascii="Arial" w:eastAsia="Calibri" w:hAnsi="Arial" w:cs="Arial"/>
          <w:i/>
          <w:iCs/>
          <w:sz w:val="20"/>
          <w:szCs w:val="23"/>
        </w:rPr>
        <w:t>remuneração certos</w:t>
      </w:r>
      <w:proofErr w:type="gramEnd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 e com atribuições definidas de direção, chefia ou assessoramento, são de livre nomeação e exoneração, observados os requisitos gerais de provimento em cargos estaduais.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Art. 82.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Compete ao Governador, privativamente: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(...)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XVIII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>- prover os cargos do Poder Executivo, na forma da lei; (...</w:t>
      </w:r>
      <w:proofErr w:type="gramStart"/>
      <w:r w:rsidRPr="00404640">
        <w:rPr>
          <w:rFonts w:ascii="Arial" w:eastAsia="Calibri" w:hAnsi="Arial" w:cs="Arial"/>
          <w:i/>
          <w:iCs/>
          <w:sz w:val="20"/>
          <w:szCs w:val="23"/>
        </w:rPr>
        <w:t>)</w:t>
      </w:r>
      <w:proofErr w:type="gramEnd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 </w:t>
      </w:r>
    </w:p>
    <w:p w:rsidR="00F527C6" w:rsidRPr="00404640" w:rsidRDefault="00F527C6" w:rsidP="005C084B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Perceba-se, por oportuno, que o princípio da gestão democrática do ensino público (art. 206, VI, da Constituição Federal) não afasta a regra da livre nomeação de cargos comissionados (art. 37, II), que assim dispõe: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Art. 37.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 administração pública direta e indireta de qualquer dos Poderes da União, dos Estados, do Distrito Federal e dos Municípios obedecerá aos princípios de legalidade, impessoalidade, moralidade, publicidade e eficiência e, também, ao seguinte: </w:t>
      </w:r>
    </w:p>
    <w:p w:rsidR="00F527C6" w:rsidRPr="00404640" w:rsidRDefault="00F527C6" w:rsidP="005C084B">
      <w:pPr>
        <w:spacing w:line="240" w:lineRule="auto"/>
        <w:ind w:left="1701" w:firstLine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(...) </w:t>
      </w:r>
    </w:p>
    <w:p w:rsidR="00F527C6" w:rsidRDefault="00F527C6" w:rsidP="005C084B">
      <w:pPr>
        <w:spacing w:line="240" w:lineRule="auto"/>
        <w:ind w:left="1701" w:firstLine="1701"/>
        <w:jc w:val="both"/>
        <w:rPr>
          <w:rFonts w:ascii="Arial" w:eastAsia="Calibri" w:hAnsi="Arial" w:cs="Arial"/>
          <w:i/>
          <w:iCs/>
          <w:sz w:val="20"/>
          <w:szCs w:val="23"/>
        </w:rPr>
      </w:pPr>
      <w:r w:rsidRPr="00404640"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II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- a investidura em cargo ou emprego público depende de aprovação prévia em concurso público de provas ou de provas e títulos, de acordo com a natureza e a complexidade do cargo ou emprego, na forma </w:t>
      </w:r>
      <w:proofErr w:type="gramStart"/>
      <w:r w:rsidRPr="00404640">
        <w:rPr>
          <w:rFonts w:ascii="Arial" w:eastAsia="Calibri" w:hAnsi="Arial" w:cs="Arial"/>
          <w:i/>
          <w:iCs/>
          <w:sz w:val="20"/>
          <w:szCs w:val="23"/>
        </w:rPr>
        <w:t>prevista em lei, ressalvadas</w:t>
      </w:r>
      <w:proofErr w:type="gramEnd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 as nomeações para cargo em comissão declarado em lei de livre nomeação e exoneração; </w:t>
      </w:r>
    </w:p>
    <w:p w:rsidR="00480303" w:rsidRDefault="00480303" w:rsidP="005C084B">
      <w:pPr>
        <w:spacing w:line="240" w:lineRule="auto"/>
        <w:ind w:left="1701" w:firstLine="1701"/>
        <w:jc w:val="both"/>
        <w:rPr>
          <w:rFonts w:ascii="Arial" w:eastAsia="Calibri" w:hAnsi="Arial" w:cs="Arial"/>
          <w:sz w:val="20"/>
          <w:szCs w:val="23"/>
        </w:rPr>
      </w:pPr>
      <w:r>
        <w:rPr>
          <w:rFonts w:ascii="Arial" w:eastAsia="Calibri" w:hAnsi="Arial" w:cs="Arial"/>
          <w:b/>
          <w:bCs/>
          <w:i/>
          <w:iCs/>
          <w:sz w:val="20"/>
          <w:szCs w:val="23"/>
        </w:rPr>
        <w:t>(</w:t>
      </w:r>
      <w:r w:rsidRPr="00480303">
        <w:rPr>
          <w:rFonts w:ascii="Arial" w:eastAsia="Calibri" w:hAnsi="Arial" w:cs="Arial"/>
          <w:sz w:val="20"/>
          <w:szCs w:val="23"/>
        </w:rPr>
        <w:t>.</w:t>
      </w:r>
      <w:r>
        <w:rPr>
          <w:rFonts w:ascii="Arial" w:eastAsia="Calibri" w:hAnsi="Arial" w:cs="Arial"/>
          <w:sz w:val="20"/>
          <w:szCs w:val="23"/>
        </w:rPr>
        <w:t>..)</w:t>
      </w:r>
    </w:p>
    <w:p w:rsidR="00480303" w:rsidRPr="00404640" w:rsidRDefault="00480303" w:rsidP="005C084B">
      <w:pPr>
        <w:spacing w:line="240" w:lineRule="auto"/>
        <w:ind w:left="1701" w:firstLine="1701"/>
        <w:jc w:val="both"/>
        <w:rPr>
          <w:rFonts w:ascii="Arial" w:eastAsia="Calibri" w:hAnsi="Arial" w:cs="Arial"/>
          <w:sz w:val="20"/>
          <w:szCs w:val="23"/>
        </w:rPr>
      </w:pPr>
      <w:r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V </w:t>
      </w:r>
      <w:r w:rsidRPr="00480303">
        <w:rPr>
          <w:rFonts w:ascii="Arial" w:eastAsia="Calibri" w:hAnsi="Arial" w:cs="Arial"/>
          <w:sz w:val="20"/>
          <w:szCs w:val="23"/>
        </w:rPr>
        <w:t>-</w:t>
      </w:r>
      <w:r>
        <w:rPr>
          <w:rFonts w:ascii="Arial" w:eastAsia="Calibri" w:hAnsi="Arial" w:cs="Arial"/>
          <w:sz w:val="20"/>
          <w:szCs w:val="23"/>
        </w:rPr>
        <w:t xml:space="preserve"> </w:t>
      </w:r>
      <w:r w:rsidRPr="00480303">
        <w:rPr>
          <w:rFonts w:ascii="Arial" w:eastAsia="Calibri" w:hAnsi="Arial" w:cs="Arial"/>
          <w:i/>
          <w:iCs/>
          <w:sz w:val="20"/>
          <w:szCs w:val="23"/>
        </w:rPr>
        <w:t xml:space="preserve">as funções de confiança, exercidas exclusivamente por servidores ocupantes de cargo efetivo, e os cargos em comissão, a serem preenchidos por servidores de carreira nos casos, condições e percentuais mínimos previstos em lei, destinam-se apenas às atribuições de </w:t>
      </w:r>
      <w:r w:rsidRPr="00480303">
        <w:rPr>
          <w:rFonts w:ascii="Arial" w:eastAsia="Calibri" w:hAnsi="Arial" w:cs="Arial"/>
          <w:b/>
          <w:bCs/>
          <w:i/>
          <w:iCs/>
          <w:sz w:val="20"/>
          <w:szCs w:val="23"/>
        </w:rPr>
        <w:t>direção</w:t>
      </w:r>
      <w:r w:rsidRPr="00480303">
        <w:rPr>
          <w:rFonts w:ascii="Arial" w:eastAsia="Calibri" w:hAnsi="Arial" w:cs="Arial"/>
          <w:i/>
          <w:iCs/>
          <w:sz w:val="20"/>
          <w:szCs w:val="23"/>
        </w:rPr>
        <w:t>, chefia e assessoramento;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lastRenderedPageBreak/>
        <w:t xml:space="preserve">Pelo exposto, identificamos que </w:t>
      </w:r>
      <w:proofErr w:type="gramStart"/>
      <w:r w:rsidRPr="00404640">
        <w:rPr>
          <w:rFonts w:ascii="Arial" w:eastAsia="Calibri" w:hAnsi="Arial" w:cs="Arial"/>
          <w:szCs w:val="23"/>
        </w:rPr>
        <w:t>eleições diretas para os referidos cargos afronta</w:t>
      </w:r>
      <w:proofErr w:type="gramEnd"/>
      <w:r w:rsidRPr="00404640">
        <w:rPr>
          <w:rFonts w:ascii="Arial" w:eastAsia="Calibri" w:hAnsi="Arial" w:cs="Arial"/>
          <w:szCs w:val="23"/>
        </w:rPr>
        <w:t xml:space="preserve"> aos princípios constitucionais anteriormente mencionados, uma vez que a legislação municipal retira do Poder Executivo a prerrogativa de escolha dos Diretores e Vice-Diretores das escolas municipais, os quais conferem prerrogativa de cargo público de livre nomeação e exoneração do Chefe do Poder Executivo.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Por conseguinte, cabe ressaltar que o Supremo Tribunal Federal já decidiu em Ação Direta de Inconstitucionalidade, tombada sob nº 578/RS, de relatoria do Ministro Maurício Corrêa, a inconstitucionalidade do §1º do artigo 213 da Constituição do Estado do Rio Grande do Sul, dispositivo que estabelecia que </w:t>
      </w:r>
      <w:r w:rsidRPr="00404640">
        <w:rPr>
          <w:rFonts w:ascii="Arial" w:eastAsia="Calibri" w:hAnsi="Arial" w:cs="Arial"/>
          <w:i/>
          <w:iCs/>
          <w:szCs w:val="23"/>
        </w:rPr>
        <w:t xml:space="preserve">“os diretores das escolas públicas estaduais serão escolhidos, mediante eleição direta e </w:t>
      </w:r>
      <w:proofErr w:type="spellStart"/>
      <w:r w:rsidRPr="00404640">
        <w:rPr>
          <w:rFonts w:ascii="Arial" w:eastAsia="Calibri" w:hAnsi="Arial" w:cs="Arial"/>
          <w:i/>
          <w:iCs/>
          <w:szCs w:val="23"/>
        </w:rPr>
        <w:t>uninominal</w:t>
      </w:r>
      <w:proofErr w:type="spellEnd"/>
      <w:r w:rsidRPr="00404640">
        <w:rPr>
          <w:rFonts w:ascii="Arial" w:eastAsia="Calibri" w:hAnsi="Arial" w:cs="Arial"/>
          <w:i/>
          <w:iCs/>
          <w:szCs w:val="23"/>
        </w:rPr>
        <w:t xml:space="preserve"> pela comunidade escolar na forma da lei”</w:t>
      </w:r>
      <w:r w:rsidRPr="00404640">
        <w:rPr>
          <w:rFonts w:ascii="Arial" w:eastAsia="Calibri" w:hAnsi="Arial" w:cs="Arial"/>
          <w:szCs w:val="23"/>
        </w:rPr>
        <w:t xml:space="preserve">. Assim restou ementado o julgado: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i/>
          <w:iCs/>
          <w:szCs w:val="23"/>
        </w:rPr>
        <w:t xml:space="preserve">“AÇÃO DIRETA DE INCONSTITUCIONALIDADE. CONSTITUIÇÃO DO ESTADO DO RIO GRANDE DO SUL, ARTIGO 213, § 1º. LEIS GAÚCHAS </w:t>
      </w:r>
      <w:proofErr w:type="spellStart"/>
      <w:r w:rsidRPr="00404640">
        <w:rPr>
          <w:rFonts w:ascii="Arial" w:eastAsia="Calibri" w:hAnsi="Arial" w:cs="Arial"/>
          <w:i/>
          <w:iCs/>
          <w:szCs w:val="23"/>
        </w:rPr>
        <w:t>NºS</w:t>
      </w:r>
      <w:proofErr w:type="spellEnd"/>
      <w:r w:rsidRPr="00404640">
        <w:rPr>
          <w:rFonts w:ascii="Arial" w:eastAsia="Calibri" w:hAnsi="Arial" w:cs="Arial"/>
          <w:i/>
          <w:iCs/>
          <w:szCs w:val="23"/>
        </w:rPr>
        <w:t xml:space="preserve"> 9.233/91 E 9.263/91. ELEIÇÃO PARA PROVIMENTO DE CARGOS DE DIRETORES DE UNIDADE DE ENSINO. INCONSTITUCIONALIDADE. </w:t>
      </w:r>
      <w:proofErr w:type="gramStart"/>
      <w:r w:rsidRPr="00404640">
        <w:rPr>
          <w:rFonts w:ascii="Arial" w:eastAsia="Calibri" w:hAnsi="Arial" w:cs="Arial"/>
          <w:i/>
          <w:iCs/>
          <w:szCs w:val="23"/>
        </w:rPr>
        <w:t>1</w:t>
      </w:r>
      <w:proofErr w:type="gramEnd"/>
      <w:r w:rsidRPr="00404640">
        <w:rPr>
          <w:rFonts w:ascii="Arial" w:eastAsia="Calibri" w:hAnsi="Arial" w:cs="Arial"/>
          <w:i/>
          <w:iCs/>
          <w:szCs w:val="23"/>
        </w:rPr>
        <w:t xml:space="preserve">. É competência privativa do Chefe do Poder Executivo o provimento de cargos em comissão de diretor de escola pública. 2. Constituição do Estado do Rio Grande do Sul, artigo 213, § 1º, e Leis estaduais </w:t>
      </w:r>
      <w:proofErr w:type="spellStart"/>
      <w:r w:rsidRPr="00404640">
        <w:rPr>
          <w:rFonts w:ascii="Arial" w:eastAsia="Calibri" w:hAnsi="Arial" w:cs="Arial"/>
          <w:i/>
          <w:iCs/>
          <w:szCs w:val="23"/>
        </w:rPr>
        <w:t>nºs</w:t>
      </w:r>
      <w:proofErr w:type="spellEnd"/>
      <w:r w:rsidRPr="00404640">
        <w:rPr>
          <w:rFonts w:ascii="Arial" w:eastAsia="Calibri" w:hAnsi="Arial" w:cs="Arial"/>
          <w:i/>
          <w:iCs/>
          <w:szCs w:val="23"/>
        </w:rPr>
        <w:t xml:space="preserve"> 9.233 e 9.263, de 1991. Eleição para o preenchimento de cargos de diretores de unidade de ensino público. Inconstitucionalidade. Ação Direta de Inconstitucionalidade procedente.”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Portanto, importante manifestar que a situação posta está eivada de inconstitucionalidade material, em relação ao disposto que estabelece que os profissionais </w:t>
      </w:r>
      <w:proofErr w:type="gramStart"/>
      <w:r w:rsidRPr="00404640">
        <w:rPr>
          <w:rFonts w:ascii="Arial" w:eastAsia="Calibri" w:hAnsi="Arial" w:cs="Arial"/>
          <w:szCs w:val="23"/>
        </w:rPr>
        <w:t>serão</w:t>
      </w:r>
      <w:proofErr w:type="gramEnd"/>
      <w:r w:rsidRPr="00404640">
        <w:rPr>
          <w:rFonts w:ascii="Arial" w:eastAsia="Calibri" w:hAnsi="Arial" w:cs="Arial"/>
          <w:szCs w:val="23"/>
        </w:rPr>
        <w:t xml:space="preserve"> submetidos a eleição direta, a qual precisa ser evidenciada neste Parecer.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proofErr w:type="spellStart"/>
      <w:r w:rsidRPr="00404640">
        <w:rPr>
          <w:rFonts w:ascii="Arial" w:eastAsia="Calibri" w:hAnsi="Arial" w:cs="Arial"/>
          <w:szCs w:val="23"/>
        </w:rPr>
        <w:t>Poderia-se</w:t>
      </w:r>
      <w:proofErr w:type="spellEnd"/>
      <w:r w:rsidRPr="00404640">
        <w:rPr>
          <w:rFonts w:ascii="Arial" w:eastAsia="Calibri" w:hAnsi="Arial" w:cs="Arial"/>
          <w:szCs w:val="23"/>
        </w:rPr>
        <w:t xml:space="preserve"> entender, todavia que, com a impossibilidade de eleições diretas haveria afronta à regra da Gestão democrática do ensino público, forte ao artigo 206, VI, da CF. O Ministro Carlos Velloso quando enfrentou tal questão manifestou posição diversa, defendendo que a escolha da direção não retira a possibilidade de </w:t>
      </w:r>
      <w:proofErr w:type="gramStart"/>
      <w:r w:rsidRPr="00404640">
        <w:rPr>
          <w:rFonts w:ascii="Arial" w:eastAsia="Calibri" w:hAnsi="Arial" w:cs="Arial"/>
          <w:szCs w:val="23"/>
        </w:rPr>
        <w:t>implementação</w:t>
      </w:r>
      <w:proofErr w:type="gramEnd"/>
      <w:r w:rsidRPr="00404640">
        <w:rPr>
          <w:rFonts w:ascii="Arial" w:eastAsia="Calibri" w:hAnsi="Arial" w:cs="Arial"/>
          <w:szCs w:val="23"/>
        </w:rPr>
        <w:t xml:space="preserve"> de medidas voltadas à efetivação do ensino via consulta à comunidade escolar, assim referindo: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i/>
          <w:iCs/>
          <w:szCs w:val="23"/>
        </w:rPr>
        <w:t xml:space="preserve">(...) esse dispositivo “deve ser interpretado em consonância com os demais princípios constitucionais estabelecidos pela mesma Constituição. E um deles, de observância por parte dos entes políticos, é o que está inscrito no inciso II do art. 37 da Constituição: os cargos </w:t>
      </w:r>
      <w:r w:rsidR="005C084B" w:rsidRPr="00404640">
        <w:rPr>
          <w:rFonts w:ascii="Arial" w:eastAsia="Calibri" w:hAnsi="Arial" w:cs="Arial"/>
          <w:i/>
          <w:iCs/>
          <w:szCs w:val="23"/>
        </w:rPr>
        <w:t>públicos</w:t>
      </w:r>
      <w:r w:rsidRPr="00404640">
        <w:rPr>
          <w:rFonts w:ascii="Arial" w:eastAsia="Calibri" w:hAnsi="Arial" w:cs="Arial"/>
          <w:i/>
          <w:iCs/>
          <w:szCs w:val="23"/>
        </w:rPr>
        <w:t xml:space="preserve"> são providos mediante concurso público de prova ou de provas e títulos (regra geral), ou – e agora vem </w:t>
      </w:r>
      <w:proofErr w:type="gramStart"/>
      <w:r w:rsidRPr="00404640">
        <w:rPr>
          <w:rFonts w:ascii="Arial" w:eastAsia="Calibri" w:hAnsi="Arial" w:cs="Arial"/>
          <w:i/>
          <w:iCs/>
          <w:szCs w:val="23"/>
        </w:rPr>
        <w:t>a</w:t>
      </w:r>
      <w:proofErr w:type="gramEnd"/>
      <w:r w:rsidRPr="00404640">
        <w:rPr>
          <w:rFonts w:ascii="Arial" w:eastAsia="Calibri" w:hAnsi="Arial" w:cs="Arial"/>
          <w:i/>
          <w:iCs/>
          <w:szCs w:val="23"/>
        </w:rPr>
        <w:t xml:space="preserve"> exceção – ressalvadas as nomeações para cargo em comissão declarado em lei de livre nomeação e exoneração. Ora, se os cargos em comissão são do Poder Executivo, ao chefe deste cabe efetivar a nomeação e a exoneração, com exclusividade, conforme acentuou o eminente Ministro Celso de Mello, quando do julgamento da cautelar pedido na </w:t>
      </w:r>
      <w:proofErr w:type="spellStart"/>
      <w:r w:rsidRPr="00404640">
        <w:rPr>
          <w:rFonts w:ascii="Arial" w:eastAsia="Calibri" w:hAnsi="Arial" w:cs="Arial"/>
          <w:i/>
          <w:iCs/>
          <w:szCs w:val="23"/>
        </w:rPr>
        <w:t>ADIn</w:t>
      </w:r>
      <w:proofErr w:type="spellEnd"/>
      <w:r w:rsidRPr="00404640">
        <w:rPr>
          <w:rFonts w:ascii="Arial" w:eastAsia="Calibri" w:hAnsi="Arial" w:cs="Arial"/>
          <w:i/>
          <w:iCs/>
          <w:szCs w:val="23"/>
        </w:rPr>
        <w:t xml:space="preserve"> 387-RO (RTJ 135/905, 907. Registre-se que é salutar a disposição inscrita no inc. VI do art. 206 da Constituição. Registre-se, também, tal como fez o Ministério Público Federal, “</w:t>
      </w:r>
      <w:r w:rsidRPr="00404640">
        <w:rPr>
          <w:rFonts w:ascii="Arial" w:eastAsia="Calibri" w:hAnsi="Arial" w:cs="Arial"/>
          <w:b/>
          <w:bCs/>
          <w:i/>
          <w:iCs/>
          <w:szCs w:val="23"/>
        </w:rPr>
        <w:t xml:space="preserve">o fato de que a “gestão democrática” do ensino público pode ser implementada através de muitas vias, sendo desarrazoado o pensamento de que só se realizaria mediante a instituição de eleições para o provimento dos cargos de direção nas escolas públicas.” </w:t>
      </w:r>
      <w:r w:rsidRPr="00404640">
        <w:rPr>
          <w:rFonts w:ascii="Arial" w:eastAsia="Calibri" w:hAnsi="Arial" w:cs="Arial"/>
          <w:i/>
          <w:iCs/>
          <w:szCs w:val="23"/>
        </w:rPr>
        <w:t xml:space="preserve">(fl. 75). Pessoalmente, penso que o sistema de </w:t>
      </w:r>
      <w:r w:rsidRPr="00404640">
        <w:rPr>
          <w:rFonts w:ascii="Arial" w:eastAsia="Calibri" w:hAnsi="Arial" w:cs="Arial"/>
          <w:i/>
          <w:iCs/>
          <w:szCs w:val="23"/>
        </w:rPr>
        <w:lastRenderedPageBreak/>
        <w:t xml:space="preserve">eleição de diretores de escolas públicas não é o melhor e de democrático só tem a aparência. O que se exige de um diretor de escola é o saber abrangente de uma série de questões científicas e do conhecimento humano. A eleição, por parte de toda a comunidade – professores, alunos, pais de alunos, servidores – muita vez tem presente menos o conhecimento científico e mais a capacidade de agradar e de fazer promessas vazias”.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O Tribunal de Justiça do RS, por sua vez, quando enfrentou a matéria, seguiu o mesmo entendimento, conforme os recentes julgamentos pesquisados: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AÇÃO DIRETA DE INCONSTITUCIONALIDADE. MUNICÍPIO DE XANGRI-LÁ. ESCOLHA DO DIRETOR DE ESCOLA MEDIANTEELEIÇÃO PELA COMUNIDADE ESCOLAR. COMPETÊNCIA PRIVATIVA DO CHEFE DO PODER EXECUTIVO O PROVIMENTO DE CARGOS EM COMISSÃO DE DIRETOR DE ESCOLA PÚBLICA. DESRESPEITO AO ART. 37, II, DA CONSTITUIÇÃO FEDERAL E ARTS. </w:t>
      </w:r>
      <w:proofErr w:type="gramStart"/>
      <w:r w:rsidRPr="00404640">
        <w:rPr>
          <w:rFonts w:ascii="Arial" w:eastAsia="Calibri" w:hAnsi="Arial" w:cs="Arial"/>
          <w:i/>
          <w:iCs/>
          <w:sz w:val="20"/>
          <w:szCs w:val="23"/>
        </w:rPr>
        <w:t>8º, 32 E 82</w:t>
      </w:r>
      <w:proofErr w:type="gramEnd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 DA CONSTITUIÇÃO ESTADUAL. AÇÃO DIRETA DE INCONSTITUCIONALIDADE JULGADA PROCEDENTE. UNÂNIME. (Ação Direta de Inconstitucionalidade Nº 70073223372, Tribunal Pleno, Tribunal de Justiça do RS, Relator: Vicente </w:t>
      </w:r>
      <w:proofErr w:type="spellStart"/>
      <w:r w:rsidRPr="00404640">
        <w:rPr>
          <w:rFonts w:ascii="Arial" w:eastAsia="Calibri" w:hAnsi="Arial" w:cs="Arial"/>
          <w:i/>
          <w:iCs/>
          <w:sz w:val="20"/>
          <w:szCs w:val="23"/>
        </w:rPr>
        <w:t>Barrôco</w:t>
      </w:r>
      <w:proofErr w:type="spellEnd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 de Vasconcellos, Julgado em 26/06/2017)</w:t>
      </w:r>
      <w:r w:rsidR="005C084B" w:rsidRPr="00404640">
        <w:rPr>
          <w:rFonts w:ascii="Arial" w:eastAsia="Calibri" w:hAnsi="Arial" w:cs="Arial"/>
          <w:i/>
          <w:iCs/>
          <w:sz w:val="20"/>
          <w:szCs w:val="23"/>
        </w:rPr>
        <w:t>.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i/>
          <w:iCs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F527C6" w:rsidRPr="00404640" w:rsidTr="00F527C6">
        <w:trPr>
          <w:trHeight w:val="1222"/>
        </w:trPr>
        <w:tc>
          <w:tcPr>
            <w:tcW w:w="8613" w:type="dxa"/>
          </w:tcPr>
          <w:p w:rsidR="00F527C6" w:rsidRPr="00404640" w:rsidRDefault="00F527C6" w:rsidP="00F527C6">
            <w:pPr>
              <w:spacing w:line="240" w:lineRule="auto"/>
              <w:ind w:firstLine="1701"/>
              <w:jc w:val="both"/>
              <w:rPr>
                <w:rFonts w:ascii="Arial" w:eastAsia="Calibri" w:hAnsi="Arial" w:cs="Arial"/>
                <w:szCs w:val="23"/>
              </w:rPr>
            </w:pPr>
          </w:p>
        </w:tc>
      </w:tr>
      <w:tr w:rsidR="00F527C6" w:rsidRPr="00404640" w:rsidTr="00F527C6">
        <w:trPr>
          <w:trHeight w:val="1433"/>
        </w:trPr>
        <w:tc>
          <w:tcPr>
            <w:tcW w:w="8613" w:type="dxa"/>
          </w:tcPr>
          <w:p w:rsidR="00F527C6" w:rsidRPr="00404640" w:rsidRDefault="00F527C6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Cs w:val="23"/>
              </w:rPr>
            </w:pPr>
            <w:r w:rsidRPr="00404640">
              <w:rPr>
                <w:rFonts w:ascii="Arial" w:hAnsi="Arial" w:cs="Arial"/>
                <w:color w:val="000000"/>
                <w:szCs w:val="23"/>
              </w:rPr>
              <w:t xml:space="preserve">Desta forma, a jurisprudência entende que os cargos de </w:t>
            </w:r>
            <w:proofErr w:type="gramStart"/>
            <w:r w:rsidRPr="00404640">
              <w:rPr>
                <w:rFonts w:ascii="Arial" w:hAnsi="Arial" w:cs="Arial"/>
                <w:color w:val="000000"/>
                <w:szCs w:val="23"/>
              </w:rPr>
              <w:t>diretor(</w:t>
            </w:r>
            <w:proofErr w:type="gramEnd"/>
            <w:r w:rsidRPr="00404640">
              <w:rPr>
                <w:rFonts w:ascii="Arial" w:hAnsi="Arial" w:cs="Arial"/>
                <w:color w:val="000000"/>
                <w:szCs w:val="23"/>
              </w:rPr>
              <w:t xml:space="preserve">a) e vice-diretor(a) de escolas públicas municipais, sejam de ensino fundamental ou médio, são de provimento em comissão. Por esta razão diz-se que os ocupantes de tais cargos são nomeados e exonerados </w:t>
            </w:r>
            <w:r w:rsidRPr="00404640">
              <w:rPr>
                <w:rFonts w:ascii="Arial" w:hAnsi="Arial" w:cs="Arial"/>
                <w:i/>
                <w:iCs/>
                <w:color w:val="000000"/>
                <w:szCs w:val="23"/>
              </w:rPr>
              <w:t>ad nutum</w:t>
            </w:r>
            <w:r w:rsidRPr="00404640">
              <w:rPr>
                <w:rFonts w:ascii="Arial" w:hAnsi="Arial" w:cs="Arial"/>
                <w:color w:val="000000"/>
                <w:szCs w:val="23"/>
              </w:rPr>
              <w:t xml:space="preserve">, ou seja, por decisão sujeita ao poder discricionário do administrador público, incompatível, portanto, com a escolha mediante processo eleitoral. </w:t>
            </w:r>
          </w:p>
          <w:p w:rsidR="005C084B" w:rsidRPr="00404640" w:rsidRDefault="005C084B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Cs w:val="23"/>
              </w:rPr>
            </w:pPr>
          </w:p>
          <w:p w:rsidR="00F527C6" w:rsidRPr="00404640" w:rsidRDefault="00F527C6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Cs w:val="23"/>
              </w:rPr>
            </w:pPr>
            <w:r w:rsidRPr="00404640">
              <w:rPr>
                <w:rFonts w:ascii="Arial" w:hAnsi="Arial" w:cs="Arial"/>
                <w:color w:val="000000"/>
                <w:szCs w:val="23"/>
              </w:rPr>
              <w:t xml:space="preserve">Neste diapasão, alguém poderia </w:t>
            </w:r>
            <w:proofErr w:type="gramStart"/>
            <w:r w:rsidRPr="00404640">
              <w:rPr>
                <w:rFonts w:ascii="Arial" w:hAnsi="Arial" w:cs="Arial"/>
                <w:color w:val="000000"/>
                <w:szCs w:val="23"/>
              </w:rPr>
              <w:t>questionar,</w:t>
            </w:r>
            <w:proofErr w:type="gramEnd"/>
            <w:r w:rsidRPr="00404640">
              <w:rPr>
                <w:rFonts w:ascii="Arial" w:hAnsi="Arial" w:cs="Arial"/>
                <w:color w:val="000000"/>
                <w:szCs w:val="23"/>
              </w:rPr>
              <w:t xml:space="preserve"> como muitos o fazem, se o Prefeito não teria então, o poder discricionário de abrir mão do seu direito de escolha. O desembargador Túlio de Oliveira Martins, no julgamento da ADIN nº 70058553231, proposta contra lei Municipal de Santo Ângelo, assim manifestou seu voto: </w:t>
            </w:r>
          </w:p>
          <w:p w:rsidR="00F527C6" w:rsidRPr="00404640" w:rsidRDefault="00F527C6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 xml:space="preserve">(...) </w:t>
            </w:r>
          </w:p>
          <w:p w:rsidR="00F527C6" w:rsidRPr="00404640" w:rsidRDefault="00F527C6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 xml:space="preserve">Parece-me que o senhor Prefeito Municipal de Santo Ângelo simplesmente se exonerou de uma responsabilidade e gravou às futuras Administrações. Ao perdurar esta norma, abriu mão de uma fatia de </w:t>
            </w:r>
            <w:r w:rsidRPr="0040464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8"/>
              </w:rPr>
              <w:t xml:space="preserve">poder que não é dele, é do cargo, </w:t>
            </w:r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 xml:space="preserve">e esvaziou o </w:t>
            </w:r>
            <w:proofErr w:type="gramStart"/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>futuro.</w:t>
            </w:r>
            <w:proofErr w:type="gramEnd"/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 xml:space="preserve">(grifei) </w:t>
            </w:r>
          </w:p>
          <w:p w:rsidR="00F527C6" w:rsidRPr="00404640" w:rsidRDefault="00F527C6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>Houvesse o interesse dele no sentido de suas políticas públicas em relação à nomeação de Diretores de escola, observada essa origem, ele poderia perfeitamente fazer eleições simuladas e nomear os que venceram dentro dos critérios dele, mas não obrigar o futuro – como ele obrigou o futuro aqui – a seguir um determinado caminho, que me parece inconstitucional.</w:t>
            </w:r>
            <w:proofErr w:type="gramStart"/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>”</w:t>
            </w:r>
            <w:proofErr w:type="gramEnd"/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</w:p>
          <w:p w:rsidR="005C084B" w:rsidRPr="00404640" w:rsidRDefault="005C084B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Cs w:val="23"/>
              </w:rPr>
            </w:pPr>
          </w:p>
          <w:p w:rsidR="00480303" w:rsidRPr="00480303" w:rsidRDefault="00480303" w:rsidP="00480303">
            <w:pPr>
              <w:spacing w:line="240" w:lineRule="auto"/>
              <w:ind w:firstLine="1701"/>
              <w:jc w:val="both"/>
              <w:rPr>
                <w:rFonts w:ascii="Arial" w:eastAsia="Calibri" w:hAnsi="Arial" w:cs="Arial"/>
                <w:szCs w:val="23"/>
              </w:rPr>
            </w:pPr>
            <w:r w:rsidRPr="00480303">
              <w:rPr>
                <w:rFonts w:ascii="Arial" w:eastAsia="Calibri" w:hAnsi="Arial" w:cs="Arial"/>
                <w:szCs w:val="23"/>
              </w:rPr>
              <w:t xml:space="preserve">Assim, o ensinamento que o nobre desembargador apresenta é que o proponente da lei Municipal, por melhor que sejam as suas intenções – e acreditamos que o são - primando pela gestão democrática do ensino público, não pode impor aos futuros Prefeitos essa limitação, porquanto é prerrogativa constitucional do cargo de Chefe do Poder Executivo o direito à livre nomeação e exoneração dos cargos de diretores, não se confundindo com o entendimento da pessoa que ocupa o cargo de Prefeito, porque este é temporário, enquanto a lei é duradoura e ultrapassa o seu mandato. </w:t>
            </w:r>
          </w:p>
          <w:p w:rsidR="00F527C6" w:rsidRPr="00404640" w:rsidRDefault="00480303" w:rsidP="00480303">
            <w:pPr>
              <w:spacing w:line="240" w:lineRule="auto"/>
              <w:ind w:firstLine="1701"/>
              <w:jc w:val="both"/>
              <w:rPr>
                <w:rFonts w:ascii="Arial" w:eastAsia="Calibri" w:hAnsi="Arial" w:cs="Arial"/>
                <w:szCs w:val="23"/>
              </w:rPr>
            </w:pPr>
            <w:r w:rsidRPr="00480303">
              <w:rPr>
                <w:rFonts w:ascii="Arial" w:eastAsia="Calibri" w:hAnsi="Arial" w:cs="Arial"/>
                <w:szCs w:val="23"/>
              </w:rPr>
              <w:t>Os demais critérios, tais como tempo dos mandatos, e a forma de consulta à comunidade escolar, oriundo daqueles que usam o sistema, tais como professores, funcionários e pais de alunos, definindo que pode votar e quem pode ser votado, como também a proporcionalidade dos votos, a nova data para a consulta à comunidade escolar (prorrogada para março/2018), juntamente com mandato dos atuais diretores, são matérias de competência do Poder Executivo Municipal, junto com Secretaria Municipal de Educação regular, definindo as condições para sua execução, entretanto sem destituir o Chefe do Poder Executivo de participar do processo, porquanto cabe a ele, em razão do art. 37, II, direito à livre nomeação e exoneração, conforme amplamente demonstrado.</w:t>
            </w:r>
          </w:p>
        </w:tc>
      </w:tr>
    </w:tbl>
    <w:p w:rsidR="00480303" w:rsidRDefault="00480303" w:rsidP="00151B56">
      <w:pPr>
        <w:spacing w:line="240" w:lineRule="auto"/>
        <w:jc w:val="center"/>
        <w:rPr>
          <w:rFonts w:ascii="Arial" w:eastAsia="Calibri" w:hAnsi="Arial" w:cs="Arial"/>
          <w:szCs w:val="23"/>
        </w:rPr>
      </w:pPr>
    </w:p>
    <w:p w:rsidR="00487662" w:rsidRPr="00404640" w:rsidRDefault="00487662" w:rsidP="00151B56">
      <w:pPr>
        <w:spacing w:line="240" w:lineRule="auto"/>
        <w:jc w:val="center"/>
        <w:rPr>
          <w:rFonts w:ascii="Arial" w:eastAsia="Calibri" w:hAnsi="Arial" w:cs="Arial"/>
          <w:b/>
          <w:szCs w:val="23"/>
          <w:u w:val="single"/>
        </w:rPr>
      </w:pPr>
      <w:r w:rsidRPr="00404640">
        <w:rPr>
          <w:rFonts w:ascii="Arial" w:eastAsia="Calibri" w:hAnsi="Arial" w:cs="Arial"/>
          <w:szCs w:val="23"/>
        </w:rPr>
        <w:t xml:space="preserve">Quanto à </w:t>
      </w:r>
      <w:r w:rsidRPr="00404640">
        <w:rPr>
          <w:rFonts w:ascii="Arial" w:eastAsia="Calibri" w:hAnsi="Arial" w:cs="Arial"/>
          <w:b/>
          <w:szCs w:val="23"/>
          <w:u w:val="single"/>
        </w:rPr>
        <w:t>iniciativa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O projeto ora em análise versa sobre </w:t>
      </w:r>
      <w:r w:rsidR="00240183">
        <w:rPr>
          <w:rFonts w:ascii="Arial" w:eastAsia="Calibri" w:hAnsi="Arial" w:cs="Arial"/>
          <w:szCs w:val="23"/>
        </w:rPr>
        <w:t>a organização do sistema municipal de ensino no município de Gramado</w:t>
      </w:r>
      <w:r w:rsidRPr="00404640">
        <w:rPr>
          <w:rFonts w:ascii="Arial" w:eastAsia="Calibri" w:hAnsi="Arial" w:cs="Arial"/>
          <w:szCs w:val="23"/>
        </w:rPr>
        <w:t xml:space="preserve">.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Quanto à competência para legislar a matéria, a Lei orgânica assim estabelece: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proofErr w:type="gramStart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“Art. 6º Compete ao Município no exercício de sua autonomia: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proofErr w:type="gramEnd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I – organizar-se administrativamente, observadas as legislações federal e estadual;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II – elaborar suas leis, expedir decretos e atos relativos aos assuntos de seu peculiar interesse;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(...)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XXIV – legislar sobre assuntos de interesse local;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Art. 8º Compete, ainda, ao Município, concorrentemente com a União ou Estado, ou supletivamente a eles: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(...)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II – promover o ensino, a educação e a cultura;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proofErr w:type="gramStart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“Art. 60 Compete privativamente ao Prefeito: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proofErr w:type="gramEnd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VI – dispor sobre a organização e o funcionamento da administração municipal na forma da lei;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(...)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>XXII – providenciar sobre o ensino público;</w:t>
      </w:r>
    </w:p>
    <w:p w:rsidR="00C40245" w:rsidRPr="00404640" w:rsidRDefault="00C40245" w:rsidP="00C20D7C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Assim, o presente PL encontra-se em conformidade com as normas legais vigentes, por ser de competência do Município normatização sobre a organização e o funcionamento da administração municipal, entre as quais a criação de cargos públicos, </w:t>
      </w:r>
      <w:r w:rsidRPr="00404640">
        <w:rPr>
          <w:rFonts w:ascii="Arial" w:eastAsia="Calibri" w:hAnsi="Arial" w:cs="Arial"/>
          <w:b/>
          <w:bCs/>
          <w:szCs w:val="23"/>
        </w:rPr>
        <w:t xml:space="preserve">NÃO </w:t>
      </w:r>
      <w:r w:rsidRPr="00404640">
        <w:rPr>
          <w:rFonts w:ascii="Arial" w:eastAsia="Calibri" w:hAnsi="Arial" w:cs="Arial"/>
          <w:szCs w:val="23"/>
        </w:rPr>
        <w:t xml:space="preserve">se registrando, desta forma, qualquer vício de origem </w:t>
      </w:r>
      <w:proofErr w:type="gramStart"/>
      <w:r w:rsidRPr="00404640">
        <w:rPr>
          <w:rFonts w:ascii="Arial" w:eastAsia="Calibri" w:hAnsi="Arial" w:cs="Arial"/>
          <w:szCs w:val="23"/>
        </w:rPr>
        <w:t xml:space="preserve">na </w:t>
      </w:r>
      <w:r w:rsidRPr="00404640">
        <w:rPr>
          <w:rFonts w:ascii="Arial" w:eastAsia="Calibri" w:hAnsi="Arial" w:cs="Arial"/>
          <w:szCs w:val="23"/>
        </w:rPr>
        <w:lastRenderedPageBreak/>
        <w:t>presente</w:t>
      </w:r>
      <w:proofErr w:type="gramEnd"/>
      <w:r w:rsidRPr="00404640">
        <w:rPr>
          <w:rFonts w:ascii="Arial" w:eastAsia="Calibri" w:hAnsi="Arial" w:cs="Arial"/>
          <w:szCs w:val="23"/>
        </w:rPr>
        <w:t xml:space="preserve"> propositura, nos termos do art. 61, § 1º, II, “a”, da Constituição Federal, aplicado por simetria.</w:t>
      </w:r>
    </w:p>
    <w:p w:rsidR="00487662" w:rsidRPr="00404640" w:rsidRDefault="00487662" w:rsidP="00C40245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  <w:u w:val="single"/>
        </w:rPr>
      </w:pPr>
      <w:r w:rsidRPr="00404640">
        <w:rPr>
          <w:rFonts w:ascii="Arial" w:eastAsia="Calibri" w:hAnsi="Arial" w:cs="Arial"/>
          <w:szCs w:val="23"/>
        </w:rPr>
        <w:t xml:space="preserve">Em relação à </w:t>
      </w:r>
      <w:r w:rsidRPr="00404640">
        <w:rPr>
          <w:rFonts w:ascii="Arial" w:eastAsia="Calibri" w:hAnsi="Arial" w:cs="Arial"/>
          <w:b/>
          <w:szCs w:val="23"/>
          <w:u w:val="single"/>
        </w:rPr>
        <w:t>técnica legislativa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A uniformidade que requer o ordenamento jurídico não </w:t>
      </w:r>
      <w:proofErr w:type="gramStart"/>
      <w:r w:rsidRPr="00404640">
        <w:rPr>
          <w:rFonts w:ascii="Arial" w:eastAsia="Calibri" w:hAnsi="Arial" w:cs="Arial"/>
          <w:szCs w:val="23"/>
        </w:rPr>
        <w:t>permite,</w:t>
      </w:r>
      <w:proofErr w:type="gramEnd"/>
      <w:r w:rsidRPr="00404640">
        <w:rPr>
          <w:rFonts w:ascii="Arial" w:eastAsia="Calibri" w:hAnsi="Arial" w:cs="Arial"/>
          <w:szCs w:val="23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normativos, em conformidade com o que dispõe a Lei Complementar nº 95/1998. </w:t>
      </w:r>
    </w:p>
    <w:p w:rsidR="00F527C6" w:rsidRPr="00404640" w:rsidRDefault="00F527C6" w:rsidP="00F527C6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Neste quesito, observamos que o PL, ora em análise, apresenta epígrafe, ementa, preâmbulo, enunciado do objeto, e ainda está disposto em artigo, parágrafos e incisos, em conformidade ao que a norma legal orienta. </w:t>
      </w:r>
    </w:p>
    <w:p w:rsidR="00C20D7C" w:rsidRPr="00404640" w:rsidRDefault="00F527C6" w:rsidP="00F527C6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>No que se refere ao prazo de vigência, que ficou estabelecido para entrar em vigor na data da publicação, também segue o disposto na LC 95/98 para leis de pequena repercussão, apresentando formatação adequada, ao nosso juízo, dentro das normas legais vigentes.</w:t>
      </w:r>
    </w:p>
    <w:p w:rsidR="00487662" w:rsidRPr="00404640" w:rsidRDefault="00487662" w:rsidP="00C20D7C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Conclusão do Voto:</w:t>
      </w:r>
    </w:p>
    <w:p w:rsidR="007763CB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ab/>
        <w:t xml:space="preserve">Diante dos fundamentos legais e constitucionais expostos, com fundamento no parecer jurídico da Procuradora Geral desta Casa, esta Relatoria, depois de debate realizado na Comissão, disponibiliza o presente voto concluindo </w:t>
      </w:r>
      <w:r w:rsidR="006272BC" w:rsidRPr="00404640">
        <w:rPr>
          <w:rFonts w:ascii="Arial" w:eastAsia="Calibri" w:hAnsi="Arial" w:cs="Arial"/>
          <w:szCs w:val="23"/>
        </w:rPr>
        <w:t xml:space="preserve">que o PL </w:t>
      </w:r>
      <w:r w:rsidR="00C20D7C" w:rsidRPr="00404640">
        <w:rPr>
          <w:rFonts w:ascii="Arial" w:eastAsia="Calibri" w:hAnsi="Arial" w:cs="Arial"/>
          <w:szCs w:val="23"/>
        </w:rPr>
        <w:t>6</w:t>
      </w:r>
      <w:r w:rsidR="00480303">
        <w:rPr>
          <w:rFonts w:ascii="Arial" w:eastAsia="Calibri" w:hAnsi="Arial" w:cs="Arial"/>
          <w:szCs w:val="23"/>
        </w:rPr>
        <w:t>0</w:t>
      </w:r>
      <w:r w:rsidR="006272BC" w:rsidRPr="00404640">
        <w:rPr>
          <w:rFonts w:ascii="Arial" w:eastAsia="Calibri" w:hAnsi="Arial" w:cs="Arial"/>
          <w:szCs w:val="23"/>
        </w:rPr>
        <w:t xml:space="preserve">/2017 </w:t>
      </w:r>
      <w:r w:rsidR="005C084B" w:rsidRPr="00404640">
        <w:rPr>
          <w:rFonts w:ascii="Arial" w:eastAsia="Calibri" w:hAnsi="Arial" w:cs="Arial"/>
          <w:szCs w:val="23"/>
        </w:rPr>
        <w:t xml:space="preserve">não </w:t>
      </w:r>
      <w:r w:rsidR="006272BC" w:rsidRPr="00404640">
        <w:rPr>
          <w:rFonts w:ascii="Arial" w:eastAsia="Calibri" w:hAnsi="Arial" w:cs="Arial"/>
          <w:szCs w:val="23"/>
        </w:rPr>
        <w:t xml:space="preserve">atende as normas legais impostas, </w:t>
      </w:r>
      <w:r w:rsidR="00E46210" w:rsidRPr="00404640">
        <w:rPr>
          <w:rFonts w:ascii="Arial" w:eastAsia="Calibri" w:hAnsi="Arial" w:cs="Arial"/>
          <w:b/>
          <w:szCs w:val="23"/>
        </w:rPr>
        <w:t xml:space="preserve">sendo </w:t>
      </w:r>
      <w:r w:rsidR="005C084B" w:rsidRPr="00404640">
        <w:rPr>
          <w:rFonts w:ascii="Arial" w:eastAsia="Calibri" w:hAnsi="Arial" w:cs="Arial"/>
          <w:b/>
          <w:szCs w:val="23"/>
        </w:rPr>
        <w:t>in</w:t>
      </w:r>
      <w:r w:rsidR="00E46210" w:rsidRPr="00404640">
        <w:rPr>
          <w:rFonts w:ascii="Arial" w:eastAsia="Calibri" w:hAnsi="Arial" w:cs="Arial"/>
          <w:b/>
          <w:szCs w:val="23"/>
        </w:rPr>
        <w:t>viável a sua tramitação</w:t>
      </w:r>
      <w:r w:rsidR="005C084B" w:rsidRPr="00404640">
        <w:rPr>
          <w:rFonts w:ascii="Arial" w:eastAsia="Calibri" w:hAnsi="Arial" w:cs="Arial"/>
          <w:b/>
          <w:szCs w:val="23"/>
        </w:rPr>
        <w:t xml:space="preserve">, apresentando </w:t>
      </w:r>
      <w:r w:rsidR="005C084B" w:rsidRPr="00404640">
        <w:rPr>
          <w:rFonts w:ascii="Arial" w:eastAsia="Calibri" w:hAnsi="Arial" w:cs="Arial"/>
          <w:b/>
          <w:bCs/>
          <w:szCs w:val="23"/>
        </w:rPr>
        <w:t xml:space="preserve">inconstitucionalidade material </w:t>
      </w:r>
      <w:r w:rsidR="005C084B" w:rsidRPr="00404640">
        <w:rPr>
          <w:rFonts w:ascii="Arial" w:eastAsia="Calibri" w:hAnsi="Arial" w:cs="Arial"/>
          <w:b/>
          <w:szCs w:val="23"/>
        </w:rPr>
        <w:t xml:space="preserve">na sua proposição, </w:t>
      </w:r>
      <w:r w:rsidR="00480303">
        <w:rPr>
          <w:rFonts w:ascii="Arial" w:eastAsia="Calibri" w:hAnsi="Arial" w:cs="Arial"/>
          <w:b/>
          <w:szCs w:val="23"/>
        </w:rPr>
        <w:t>em relação às eleições diretas como meio de escolha dos diretores das escolas públicas municipais</w:t>
      </w:r>
      <w:bookmarkStart w:id="0" w:name="_GoBack"/>
      <w:bookmarkEnd w:id="0"/>
      <w:r w:rsidR="008F7957" w:rsidRPr="00404640">
        <w:rPr>
          <w:rFonts w:ascii="Arial" w:eastAsia="Calibri" w:hAnsi="Arial" w:cs="Arial"/>
          <w:b/>
          <w:szCs w:val="23"/>
        </w:rPr>
        <w:t>.</w:t>
      </w:r>
    </w:p>
    <w:p w:rsidR="00487662" w:rsidRPr="00404640" w:rsidRDefault="006272BC" w:rsidP="009E35BC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ab/>
      </w:r>
      <w:r w:rsidR="00487662" w:rsidRPr="00404640">
        <w:rPr>
          <w:rFonts w:ascii="Arial" w:eastAsia="Calibri" w:hAnsi="Arial" w:cs="Arial"/>
          <w:szCs w:val="23"/>
        </w:rPr>
        <w:t xml:space="preserve">Sala das Comissões, em </w:t>
      </w:r>
      <w:r w:rsidR="00C518D5" w:rsidRPr="00404640">
        <w:rPr>
          <w:rFonts w:ascii="Arial" w:eastAsia="Calibri" w:hAnsi="Arial" w:cs="Arial"/>
          <w:szCs w:val="23"/>
        </w:rPr>
        <w:t>14</w:t>
      </w:r>
      <w:r w:rsidR="00487662" w:rsidRPr="00404640">
        <w:rPr>
          <w:rFonts w:ascii="Arial" w:eastAsia="Calibri" w:hAnsi="Arial" w:cs="Arial"/>
          <w:szCs w:val="23"/>
        </w:rPr>
        <w:t xml:space="preserve"> de </w:t>
      </w:r>
      <w:r w:rsidR="002E5DCE" w:rsidRPr="00404640">
        <w:rPr>
          <w:rFonts w:ascii="Arial" w:eastAsia="Calibri" w:hAnsi="Arial" w:cs="Arial"/>
          <w:szCs w:val="23"/>
        </w:rPr>
        <w:t>dez</w:t>
      </w:r>
      <w:r w:rsidR="00487662" w:rsidRPr="00404640">
        <w:rPr>
          <w:rFonts w:ascii="Arial" w:eastAsia="Calibri" w:hAnsi="Arial" w:cs="Arial"/>
          <w:szCs w:val="23"/>
        </w:rPr>
        <w:t>embro de 2017.</w:t>
      </w:r>
    </w:p>
    <w:p w:rsidR="00C40245" w:rsidRPr="00404640" w:rsidRDefault="00C40245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>Vereadora Relatora</w:t>
      </w:r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Manu </w:t>
      </w:r>
      <w:proofErr w:type="spellStart"/>
      <w:r w:rsidRPr="00404640">
        <w:rPr>
          <w:rFonts w:ascii="Arial" w:eastAsia="Calibri" w:hAnsi="Arial" w:cs="Arial"/>
          <w:szCs w:val="23"/>
        </w:rPr>
        <w:t>Caliari</w:t>
      </w:r>
      <w:proofErr w:type="spellEnd"/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>Acompanhando o voto da relatora:</w:t>
      </w:r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>Vereador Presidente</w:t>
      </w:r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Rafael </w:t>
      </w:r>
      <w:proofErr w:type="spellStart"/>
      <w:r w:rsidRPr="00404640">
        <w:rPr>
          <w:rFonts w:ascii="Arial" w:eastAsia="Calibri" w:hAnsi="Arial" w:cs="Arial"/>
          <w:szCs w:val="23"/>
        </w:rPr>
        <w:t>Ronsoni</w:t>
      </w:r>
      <w:proofErr w:type="spellEnd"/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>Vereador Vice-Presidente</w:t>
      </w:r>
    </w:p>
    <w:p w:rsidR="00F6021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sz w:val="20"/>
        </w:rPr>
      </w:pPr>
      <w:r w:rsidRPr="00404640">
        <w:rPr>
          <w:rFonts w:ascii="Arial" w:eastAsia="Calibri" w:hAnsi="Arial" w:cs="Arial"/>
          <w:szCs w:val="23"/>
        </w:rPr>
        <w:t xml:space="preserve">Everton </w:t>
      </w:r>
      <w:proofErr w:type="spellStart"/>
      <w:r w:rsidRPr="00404640">
        <w:rPr>
          <w:rFonts w:ascii="Arial" w:eastAsia="Calibri" w:hAnsi="Arial" w:cs="Arial"/>
          <w:szCs w:val="23"/>
        </w:rPr>
        <w:t>Michaelsen</w:t>
      </w:r>
      <w:proofErr w:type="spellEnd"/>
    </w:p>
    <w:sectPr w:rsidR="00F60212" w:rsidRPr="00404640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4B" w:rsidRDefault="005C084B" w:rsidP="00B17B53">
      <w:pPr>
        <w:spacing w:after="0" w:line="240" w:lineRule="auto"/>
      </w:pPr>
      <w:r>
        <w:separator/>
      </w:r>
    </w:p>
  </w:endnote>
  <w:endnote w:type="continuationSeparator" w:id="0">
    <w:p w:rsidR="005C084B" w:rsidRDefault="005C084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4B" w:rsidRDefault="005C084B" w:rsidP="0067136B">
    <w:pPr>
      <w:pStyle w:val="Rodap"/>
      <w:jc w:val="center"/>
      <w:rPr>
        <w:i/>
        <w:color w:val="1F3864" w:themeColor="accent1" w:themeShade="80"/>
      </w:rPr>
    </w:pPr>
  </w:p>
  <w:p w:rsidR="005C084B" w:rsidRPr="0067136B" w:rsidRDefault="005C084B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5C084B" w:rsidRPr="0067136B" w:rsidRDefault="005C084B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5C084B" w:rsidRDefault="005C08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4B" w:rsidRDefault="005C084B" w:rsidP="00B17B53">
      <w:pPr>
        <w:spacing w:after="0" w:line="240" w:lineRule="auto"/>
      </w:pPr>
      <w:r>
        <w:separator/>
      </w:r>
    </w:p>
  </w:footnote>
  <w:footnote w:type="continuationSeparator" w:id="0">
    <w:p w:rsidR="005C084B" w:rsidRDefault="005C084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84B" w:rsidRDefault="005C084B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084B" w:rsidRDefault="005C08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725E"/>
    <w:rsid w:val="0004169A"/>
    <w:rsid w:val="00042DD1"/>
    <w:rsid w:val="00043F3F"/>
    <w:rsid w:val="000508E0"/>
    <w:rsid w:val="000510EA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C6254"/>
    <w:rsid w:val="000D06C5"/>
    <w:rsid w:val="000D335C"/>
    <w:rsid w:val="000D4018"/>
    <w:rsid w:val="00100977"/>
    <w:rsid w:val="001074F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35B63"/>
    <w:rsid w:val="00240183"/>
    <w:rsid w:val="00265AA6"/>
    <w:rsid w:val="00271DF1"/>
    <w:rsid w:val="002A1785"/>
    <w:rsid w:val="002C01A4"/>
    <w:rsid w:val="002E5DCE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4DB0"/>
    <w:rsid w:val="0037028D"/>
    <w:rsid w:val="00375DA8"/>
    <w:rsid w:val="0039375A"/>
    <w:rsid w:val="003A4237"/>
    <w:rsid w:val="003B58E3"/>
    <w:rsid w:val="003C2160"/>
    <w:rsid w:val="003D2C56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4594F"/>
    <w:rsid w:val="00452F85"/>
    <w:rsid w:val="004548AE"/>
    <w:rsid w:val="00470EC8"/>
    <w:rsid w:val="0048029F"/>
    <w:rsid w:val="00480303"/>
    <w:rsid w:val="00487662"/>
    <w:rsid w:val="00491450"/>
    <w:rsid w:val="004B2EC3"/>
    <w:rsid w:val="004E0DD3"/>
    <w:rsid w:val="004F0611"/>
    <w:rsid w:val="004F60CE"/>
    <w:rsid w:val="005004AC"/>
    <w:rsid w:val="00516FBB"/>
    <w:rsid w:val="00524086"/>
    <w:rsid w:val="005268BE"/>
    <w:rsid w:val="005571F7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7136B"/>
    <w:rsid w:val="00691649"/>
    <w:rsid w:val="00693C31"/>
    <w:rsid w:val="006B43A6"/>
    <w:rsid w:val="006D418B"/>
    <w:rsid w:val="006E2BE0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4469"/>
    <w:rsid w:val="008C01C7"/>
    <w:rsid w:val="008C22A6"/>
    <w:rsid w:val="008D4652"/>
    <w:rsid w:val="008D671D"/>
    <w:rsid w:val="008E31B9"/>
    <w:rsid w:val="008F32DC"/>
    <w:rsid w:val="008F7957"/>
    <w:rsid w:val="00905942"/>
    <w:rsid w:val="00916A40"/>
    <w:rsid w:val="00920430"/>
    <w:rsid w:val="00932E95"/>
    <w:rsid w:val="00933774"/>
    <w:rsid w:val="009373E8"/>
    <w:rsid w:val="00943925"/>
    <w:rsid w:val="00945444"/>
    <w:rsid w:val="00962126"/>
    <w:rsid w:val="00972F24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70B89"/>
    <w:rsid w:val="00A80EC9"/>
    <w:rsid w:val="00A84864"/>
    <w:rsid w:val="00AA0455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46249"/>
    <w:rsid w:val="00B54735"/>
    <w:rsid w:val="00B564B1"/>
    <w:rsid w:val="00B77655"/>
    <w:rsid w:val="00BA1344"/>
    <w:rsid w:val="00BC1E6D"/>
    <w:rsid w:val="00BD091F"/>
    <w:rsid w:val="00BD1FFF"/>
    <w:rsid w:val="00BE3002"/>
    <w:rsid w:val="00BE6C2F"/>
    <w:rsid w:val="00C00AD3"/>
    <w:rsid w:val="00C0418C"/>
    <w:rsid w:val="00C20D7C"/>
    <w:rsid w:val="00C30AA1"/>
    <w:rsid w:val="00C35380"/>
    <w:rsid w:val="00C372E3"/>
    <w:rsid w:val="00C40245"/>
    <w:rsid w:val="00C4317B"/>
    <w:rsid w:val="00C518D5"/>
    <w:rsid w:val="00C63CD1"/>
    <w:rsid w:val="00C64428"/>
    <w:rsid w:val="00C701B0"/>
    <w:rsid w:val="00C70447"/>
    <w:rsid w:val="00C709DF"/>
    <w:rsid w:val="00C74362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D03E02"/>
    <w:rsid w:val="00D21214"/>
    <w:rsid w:val="00D242B5"/>
    <w:rsid w:val="00D33E26"/>
    <w:rsid w:val="00D41EB7"/>
    <w:rsid w:val="00D557EC"/>
    <w:rsid w:val="00D55A68"/>
    <w:rsid w:val="00D62A77"/>
    <w:rsid w:val="00D63174"/>
    <w:rsid w:val="00D87EFA"/>
    <w:rsid w:val="00DA0AC6"/>
    <w:rsid w:val="00DB23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46210"/>
    <w:rsid w:val="00E53DAA"/>
    <w:rsid w:val="00E55917"/>
    <w:rsid w:val="00E623AB"/>
    <w:rsid w:val="00E9296F"/>
    <w:rsid w:val="00E9343F"/>
    <w:rsid w:val="00E939C7"/>
    <w:rsid w:val="00E97F24"/>
    <w:rsid w:val="00EA6C3E"/>
    <w:rsid w:val="00EB1C01"/>
    <w:rsid w:val="00EC080F"/>
    <w:rsid w:val="00EC55CA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41E1-7EA0-4AA6-8E6B-6E887FC4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2560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4</cp:revision>
  <cp:lastPrinted>2017-12-13T20:28:00Z</cp:lastPrinted>
  <dcterms:created xsi:type="dcterms:W3CDTF">2017-12-13T20:29:00Z</dcterms:created>
  <dcterms:modified xsi:type="dcterms:W3CDTF">2017-12-13T20:44:00Z</dcterms:modified>
</cp:coreProperties>
</file>