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5C4110" w:rsidRDefault="00487662" w:rsidP="005C4110">
      <w:pPr>
        <w:pStyle w:val="SemEspaamento"/>
        <w:jc w:val="center"/>
        <w:rPr>
          <w:rFonts w:ascii="Arial" w:hAnsi="Arial" w:cs="Arial"/>
          <w:b/>
        </w:rPr>
      </w:pPr>
      <w:r w:rsidRPr="005C4110">
        <w:rPr>
          <w:rFonts w:ascii="Arial" w:hAnsi="Arial" w:cs="Arial"/>
          <w:b/>
        </w:rPr>
        <w:t xml:space="preserve">COMISSÃO DE </w:t>
      </w:r>
      <w:r w:rsidR="00B16E1B" w:rsidRPr="005C4110">
        <w:rPr>
          <w:rFonts w:ascii="Arial" w:hAnsi="Arial" w:cs="Arial"/>
          <w:b/>
        </w:rPr>
        <w:t>INFRAESTRUTURA, TURISMO, DESENVOLVIMENTO E BEM-ESTAR SOCIAL</w:t>
      </w:r>
    </w:p>
    <w:p w:rsidR="00487662" w:rsidRPr="005C4110" w:rsidRDefault="00487662" w:rsidP="005C4110">
      <w:pPr>
        <w:pStyle w:val="SemEspaamento"/>
        <w:rPr>
          <w:rFonts w:ascii="Arial" w:hAnsi="Arial" w:cs="Arial"/>
        </w:rPr>
      </w:pPr>
    </w:p>
    <w:p w:rsidR="001300B5" w:rsidRPr="005C4110" w:rsidRDefault="001300B5" w:rsidP="005C4110">
      <w:pPr>
        <w:pStyle w:val="SemEspaamento"/>
        <w:jc w:val="both"/>
        <w:rPr>
          <w:rFonts w:ascii="Arial" w:hAnsi="Arial" w:cs="Arial"/>
        </w:rPr>
      </w:pPr>
      <w:r w:rsidRPr="005C4110">
        <w:rPr>
          <w:rFonts w:ascii="Arial" w:hAnsi="Arial" w:cs="Arial"/>
          <w:b/>
        </w:rPr>
        <w:t>Parecer:</w:t>
      </w:r>
      <w:r w:rsidRPr="005C4110">
        <w:rPr>
          <w:rFonts w:ascii="Arial" w:hAnsi="Arial" w:cs="Arial"/>
        </w:rPr>
        <w:t xml:space="preserve"> </w:t>
      </w:r>
      <w:r w:rsidR="0060634D" w:rsidRPr="005C4110">
        <w:rPr>
          <w:rFonts w:ascii="Arial" w:hAnsi="Arial" w:cs="Arial"/>
        </w:rPr>
        <w:t>7</w:t>
      </w:r>
      <w:r w:rsidR="008F5848">
        <w:rPr>
          <w:rFonts w:ascii="Arial" w:hAnsi="Arial" w:cs="Arial"/>
        </w:rPr>
        <w:t>4</w:t>
      </w:r>
      <w:r w:rsidRPr="005C4110">
        <w:rPr>
          <w:rFonts w:ascii="Arial" w:hAnsi="Arial" w:cs="Arial"/>
        </w:rPr>
        <w:t>/2018</w:t>
      </w:r>
    </w:p>
    <w:p w:rsidR="0060634D" w:rsidRPr="005C4110" w:rsidRDefault="0060634D" w:rsidP="005C4110">
      <w:pPr>
        <w:pStyle w:val="SemEspaamento"/>
        <w:jc w:val="both"/>
        <w:rPr>
          <w:rFonts w:ascii="Arial" w:hAnsi="Arial" w:cs="Arial"/>
        </w:rPr>
      </w:pPr>
      <w:bookmarkStart w:id="0" w:name="_Hlk515960379"/>
      <w:r w:rsidRPr="005C4110">
        <w:rPr>
          <w:rFonts w:ascii="Arial" w:hAnsi="Arial" w:cs="Arial"/>
          <w:b/>
        </w:rPr>
        <w:t>Data:</w:t>
      </w:r>
      <w:r w:rsidRPr="005C4110">
        <w:rPr>
          <w:rFonts w:ascii="Arial" w:hAnsi="Arial" w:cs="Arial"/>
        </w:rPr>
        <w:t xml:space="preserve"> 17 de outubro de 2018</w:t>
      </w:r>
    </w:p>
    <w:p w:rsidR="0060634D" w:rsidRPr="005C4110" w:rsidRDefault="0060634D" w:rsidP="005C4110">
      <w:pPr>
        <w:pStyle w:val="SemEspaamento"/>
        <w:jc w:val="both"/>
        <w:rPr>
          <w:rFonts w:ascii="Arial" w:hAnsi="Arial" w:cs="Arial"/>
        </w:rPr>
      </w:pPr>
      <w:r w:rsidRPr="005C4110">
        <w:rPr>
          <w:rFonts w:ascii="Arial" w:hAnsi="Arial" w:cs="Arial"/>
          <w:b/>
        </w:rPr>
        <w:t>Matéria:</w:t>
      </w:r>
      <w:r w:rsidRPr="005C4110">
        <w:rPr>
          <w:rFonts w:ascii="Arial" w:hAnsi="Arial" w:cs="Arial"/>
        </w:rPr>
        <w:t xml:space="preserve"> Projeto de Lei nº 05</w:t>
      </w:r>
      <w:r w:rsidR="00255E26">
        <w:rPr>
          <w:rFonts w:ascii="Arial" w:hAnsi="Arial" w:cs="Arial"/>
        </w:rPr>
        <w:t>4</w:t>
      </w:r>
      <w:r w:rsidRPr="005C4110">
        <w:rPr>
          <w:rFonts w:ascii="Arial" w:hAnsi="Arial" w:cs="Arial"/>
        </w:rPr>
        <w:t>/2018</w:t>
      </w:r>
    </w:p>
    <w:p w:rsidR="00255E26" w:rsidRPr="00255E26" w:rsidRDefault="00BF30EB" w:rsidP="00255E26">
      <w:pPr>
        <w:pStyle w:val="SemEspaamento"/>
        <w:spacing w:line="276" w:lineRule="auto"/>
        <w:jc w:val="both"/>
        <w:rPr>
          <w:rFonts w:ascii="Arial" w:hAnsi="Arial" w:cs="Arial"/>
        </w:rPr>
      </w:pPr>
      <w:r w:rsidRPr="00740ED8">
        <w:rPr>
          <w:rFonts w:ascii="Arial" w:hAnsi="Arial" w:cs="Arial"/>
          <w:b/>
        </w:rPr>
        <w:t>Ementa:</w:t>
      </w:r>
      <w:r w:rsidRPr="00740ED8">
        <w:rPr>
          <w:rFonts w:ascii="Arial" w:hAnsi="Arial" w:cs="Arial"/>
        </w:rPr>
        <w:t xml:space="preserve"> </w:t>
      </w:r>
      <w:r w:rsidR="00255E26" w:rsidRPr="00255E26">
        <w:rPr>
          <w:rFonts w:ascii="Arial" w:hAnsi="Arial" w:cs="Arial"/>
        </w:rPr>
        <w:t>O Município de Gramado fica autorizado a contribuir financeiramente com a Associação de Assistência e Caridade de Gramado – Damas de Caridade, e dá outras providencias.</w:t>
      </w:r>
    </w:p>
    <w:p w:rsidR="00BF30EB" w:rsidRPr="00740ED8" w:rsidRDefault="00BF30EB" w:rsidP="00BF30EB">
      <w:pPr>
        <w:pStyle w:val="SemEspaamento"/>
        <w:spacing w:line="276" w:lineRule="auto"/>
        <w:jc w:val="both"/>
        <w:rPr>
          <w:rFonts w:ascii="Arial" w:hAnsi="Arial" w:cs="Arial"/>
          <w:bCs/>
        </w:rPr>
      </w:pPr>
      <w:r w:rsidRPr="00740ED8">
        <w:rPr>
          <w:rFonts w:ascii="Arial" w:hAnsi="Arial" w:cs="Arial"/>
          <w:b/>
        </w:rPr>
        <w:t>Protocolo:</w:t>
      </w:r>
      <w:r w:rsidRPr="00740ED8">
        <w:rPr>
          <w:rFonts w:ascii="Arial" w:hAnsi="Arial" w:cs="Arial"/>
        </w:rPr>
        <w:t xml:space="preserve"> </w:t>
      </w:r>
      <w:r>
        <w:rPr>
          <w:rFonts w:ascii="Arial" w:hAnsi="Arial" w:cs="Arial"/>
        </w:rPr>
        <w:t>11</w:t>
      </w:r>
      <w:r w:rsidRPr="00740ED8">
        <w:rPr>
          <w:rFonts w:ascii="Arial" w:hAnsi="Arial" w:cs="Arial"/>
        </w:rPr>
        <w:t>/</w:t>
      </w:r>
      <w:r>
        <w:rPr>
          <w:rFonts w:ascii="Arial" w:hAnsi="Arial" w:cs="Arial"/>
        </w:rPr>
        <w:t>1</w:t>
      </w:r>
      <w:r w:rsidRPr="00740ED8">
        <w:rPr>
          <w:rFonts w:ascii="Arial" w:hAnsi="Arial" w:cs="Arial"/>
        </w:rPr>
        <w:t>0/2018</w:t>
      </w:r>
    </w:p>
    <w:p w:rsidR="00BF30EB" w:rsidRPr="00740ED8" w:rsidRDefault="00BF30EB" w:rsidP="00BF30EB">
      <w:pPr>
        <w:pStyle w:val="SemEspaamento"/>
        <w:spacing w:line="276" w:lineRule="auto"/>
        <w:rPr>
          <w:rFonts w:ascii="Arial" w:hAnsi="Arial" w:cs="Arial"/>
        </w:rPr>
      </w:pPr>
      <w:r w:rsidRPr="00740ED8">
        <w:rPr>
          <w:rFonts w:ascii="Arial" w:hAnsi="Arial" w:cs="Arial"/>
          <w:b/>
        </w:rPr>
        <w:t>Autor:</w:t>
      </w:r>
      <w:r w:rsidRPr="00740ED8">
        <w:rPr>
          <w:rFonts w:ascii="Arial" w:hAnsi="Arial" w:cs="Arial"/>
        </w:rPr>
        <w:t xml:space="preserve"> Poder Executivo</w:t>
      </w:r>
    </w:p>
    <w:p w:rsidR="0060634D" w:rsidRPr="005C4110" w:rsidRDefault="00D86084" w:rsidP="005C4110">
      <w:pPr>
        <w:pStyle w:val="SemEspaamento"/>
        <w:rPr>
          <w:rFonts w:ascii="Arial" w:hAnsi="Arial" w:cs="Arial"/>
        </w:rPr>
      </w:pPr>
      <w:r w:rsidRPr="005C4110">
        <w:rPr>
          <w:rFonts w:ascii="Arial" w:hAnsi="Arial" w:cs="Arial"/>
          <w:b/>
        </w:rPr>
        <w:t xml:space="preserve">Relator: </w:t>
      </w:r>
      <w:r w:rsidRPr="005C4110">
        <w:rPr>
          <w:rFonts w:ascii="Arial" w:hAnsi="Arial" w:cs="Arial"/>
        </w:rPr>
        <w:t>Vereador</w:t>
      </w:r>
      <w:r w:rsidR="0060634D" w:rsidRPr="005C4110">
        <w:rPr>
          <w:rFonts w:ascii="Arial" w:hAnsi="Arial" w:cs="Arial"/>
        </w:rPr>
        <w:t>a</w:t>
      </w:r>
      <w:r w:rsidRPr="005C4110">
        <w:rPr>
          <w:rFonts w:ascii="Arial" w:hAnsi="Arial" w:cs="Arial"/>
        </w:rPr>
        <w:t xml:space="preserve"> </w:t>
      </w:r>
      <w:proofErr w:type="spellStart"/>
      <w:r w:rsidR="0060634D" w:rsidRPr="005C4110">
        <w:rPr>
          <w:rFonts w:ascii="Arial" w:hAnsi="Arial" w:cs="Arial"/>
        </w:rPr>
        <w:t>Rosi</w:t>
      </w:r>
      <w:proofErr w:type="spellEnd"/>
      <w:r w:rsidR="0060634D" w:rsidRPr="005C4110">
        <w:rPr>
          <w:rFonts w:ascii="Arial" w:hAnsi="Arial" w:cs="Arial"/>
        </w:rPr>
        <w:t xml:space="preserve"> </w:t>
      </w:r>
      <w:proofErr w:type="spellStart"/>
      <w:r w:rsidR="0060634D" w:rsidRPr="005C4110">
        <w:rPr>
          <w:rFonts w:ascii="Arial" w:hAnsi="Arial" w:cs="Arial"/>
        </w:rPr>
        <w:t>Ecker</w:t>
      </w:r>
      <w:proofErr w:type="spellEnd"/>
      <w:r w:rsidR="0060634D" w:rsidRPr="005C4110">
        <w:rPr>
          <w:rFonts w:ascii="Arial" w:hAnsi="Arial" w:cs="Arial"/>
        </w:rPr>
        <w:t xml:space="preserve"> Schmitt</w:t>
      </w:r>
    </w:p>
    <w:p w:rsidR="00D86084" w:rsidRPr="005C4110" w:rsidRDefault="00D86084" w:rsidP="005C4110">
      <w:pPr>
        <w:pStyle w:val="SemEspaamento"/>
        <w:rPr>
          <w:rFonts w:ascii="Arial" w:hAnsi="Arial" w:cs="Arial"/>
        </w:rPr>
      </w:pPr>
      <w:r w:rsidRPr="005C4110">
        <w:rPr>
          <w:rFonts w:ascii="Arial" w:hAnsi="Arial" w:cs="Arial"/>
          <w:b/>
        </w:rPr>
        <w:t>Conclusão do Voto:</w:t>
      </w:r>
      <w:r w:rsidRPr="005C4110">
        <w:rPr>
          <w:rFonts w:ascii="Arial" w:hAnsi="Arial" w:cs="Arial"/>
        </w:rPr>
        <w:t xml:space="preserve"> favorável à tramitação da matéria</w:t>
      </w:r>
    </w:p>
    <w:p w:rsidR="00D86084" w:rsidRPr="005C4110" w:rsidRDefault="00D86084" w:rsidP="005C4110">
      <w:pPr>
        <w:pStyle w:val="SemEspaamento"/>
        <w:jc w:val="both"/>
        <w:rPr>
          <w:rFonts w:ascii="Arial" w:hAnsi="Arial" w:cs="Arial"/>
        </w:rPr>
      </w:pPr>
    </w:p>
    <w:p w:rsidR="00D86084" w:rsidRDefault="00D86084" w:rsidP="005C4110">
      <w:pPr>
        <w:pStyle w:val="SemEspaamento"/>
        <w:jc w:val="center"/>
        <w:rPr>
          <w:rFonts w:ascii="Arial" w:hAnsi="Arial" w:cs="Arial"/>
          <w:b/>
        </w:rPr>
      </w:pPr>
      <w:r w:rsidRPr="005C4110">
        <w:rPr>
          <w:rFonts w:ascii="Arial" w:hAnsi="Arial" w:cs="Arial"/>
          <w:b/>
        </w:rPr>
        <w:t>Relatório:</w:t>
      </w:r>
    </w:p>
    <w:p w:rsidR="00255E26" w:rsidRPr="005C4110" w:rsidRDefault="00255E26" w:rsidP="005C4110">
      <w:pPr>
        <w:pStyle w:val="SemEspaamento"/>
        <w:jc w:val="center"/>
        <w:rPr>
          <w:rFonts w:ascii="Arial" w:hAnsi="Arial" w:cs="Arial"/>
          <w:b/>
        </w:rPr>
      </w:pPr>
    </w:p>
    <w:p w:rsidR="00255E26" w:rsidRPr="00255E26" w:rsidRDefault="00255E26" w:rsidP="00255E26">
      <w:pPr>
        <w:pStyle w:val="SemEspaamento"/>
        <w:ind w:firstLine="2268"/>
        <w:jc w:val="both"/>
        <w:rPr>
          <w:rFonts w:ascii="Arial" w:hAnsi="Arial" w:cs="Arial"/>
        </w:rPr>
      </w:pPr>
      <w:bookmarkStart w:id="1" w:name="_Hlk527446658"/>
      <w:bookmarkEnd w:id="0"/>
      <w:r w:rsidRPr="00255E26">
        <w:rPr>
          <w:rFonts w:ascii="Arial" w:hAnsi="Arial" w:cs="Arial"/>
        </w:rPr>
        <w:t>Foi encaminhado a esta Casa, o Projeto de Lei nº 54/2018, de autoria do Executivo Municipal, protocolado em 11/10/2018, que busca autorização legislativa para contribuir financeiramente com a Associação de Assistência e Caridade de Gramado – Damas de Caridade, no valor de até R$ 33.750,00 (trinta e três mil, setecentos e cinquenta reais). Na Justificativa aduz o Executivo Municipal que o objetivo do repasse é fomentar projeto social que consiste na ministração de cursos de costura, patchwork, informática e culinária, buscando promover a qualificação e a independência econômica do indivíduo integrante de famílias de baixa renda. Por fim, justificam o repasse com base na Lei nº 13019/2014, Decreto nº 07/2017 e na lei municipal nº 3.587/2017 , fazendo acompanhar Plano de Trabalho, demonstrando que o recurso será distribuído da seguinte forma: 36% em RH-salários (professores de costura, informática, Patchwork e culinária); 35% para compra de materiais para execução do Projeto (folhas de oficio, borrachas, cadernos, cartuchos, linhas, agulhas, fibras, rendas, botões, pedrarias, água, luz, gás</w:t>
      </w:r>
      <w:bookmarkStart w:id="2" w:name="_GoBack"/>
      <w:bookmarkEnd w:id="2"/>
      <w:r w:rsidRPr="00255E26">
        <w:rPr>
          <w:rFonts w:ascii="Arial" w:hAnsi="Arial" w:cs="Arial"/>
        </w:rPr>
        <w:t xml:space="preserve">,  alimentos para curso de culinária, entre outros); 12% para passagens; 9% para despesas com manutenção das máquinas, equipamentos e eletrodomésticos e 8% para material gráfico (folders, certificados, caderno de receitas, </w:t>
      </w:r>
      <w:proofErr w:type="spellStart"/>
      <w:r w:rsidRPr="00255E26">
        <w:rPr>
          <w:rFonts w:ascii="Arial" w:hAnsi="Arial" w:cs="Arial"/>
        </w:rPr>
        <w:t>etc</w:t>
      </w:r>
      <w:proofErr w:type="spellEnd"/>
      <w:r w:rsidRPr="00255E26">
        <w:rPr>
          <w:rFonts w:ascii="Arial" w:hAnsi="Arial" w:cs="Arial"/>
        </w:rPr>
        <w:t>).</w:t>
      </w:r>
    </w:p>
    <w:p w:rsidR="00255E26" w:rsidRPr="00255E26" w:rsidRDefault="00255E26" w:rsidP="00255E26">
      <w:pPr>
        <w:pStyle w:val="SemEspaamento"/>
        <w:ind w:firstLine="2268"/>
        <w:jc w:val="both"/>
        <w:rPr>
          <w:rFonts w:ascii="Arial" w:hAnsi="Arial" w:cs="Arial"/>
        </w:rPr>
      </w:pPr>
      <w:r w:rsidRPr="00255E26">
        <w:rPr>
          <w:rFonts w:ascii="Arial" w:hAnsi="Arial" w:cs="Arial"/>
        </w:rPr>
        <w:t>O projeto já foi analisado pela Procuradora Geral da Casa, a qual proferiu Orientação Jurídica nº 77/2018, favorável à tramitação</w:t>
      </w:r>
      <w:r w:rsidRPr="00255E26">
        <w:rPr>
          <w:rFonts w:ascii="Arial" w:hAnsi="Arial" w:cs="Arial"/>
          <w:b/>
        </w:rPr>
        <w:t xml:space="preserve"> </w:t>
      </w:r>
      <w:r w:rsidRPr="00255E26">
        <w:rPr>
          <w:rFonts w:ascii="Arial" w:hAnsi="Arial" w:cs="Arial"/>
        </w:rPr>
        <w:t>do PL 54/2018, vez que atende as normas legais impostas, estando presentes a legalidade e constitucionalidade.</w:t>
      </w:r>
      <w:r w:rsidRPr="00255E26">
        <w:rPr>
          <w:rFonts w:ascii="Arial" w:hAnsi="Arial" w:cs="Arial"/>
          <w:bCs/>
        </w:rPr>
        <w:t xml:space="preserve"> </w:t>
      </w:r>
      <w:r w:rsidRPr="00255E26">
        <w:rPr>
          <w:rFonts w:ascii="Arial" w:hAnsi="Arial" w:cs="Arial"/>
        </w:rPr>
        <w:t>Tal orientação jurídica embasa a elaboração do presente parecer.</w:t>
      </w:r>
    </w:p>
    <w:bookmarkEnd w:id="1"/>
    <w:p w:rsidR="00437A11" w:rsidRPr="005C4110" w:rsidRDefault="00437A11" w:rsidP="00A24515">
      <w:pPr>
        <w:pStyle w:val="SemEspaamento"/>
        <w:jc w:val="both"/>
        <w:rPr>
          <w:rFonts w:ascii="Arial" w:hAnsi="Arial" w:cs="Arial"/>
          <w:b/>
        </w:rPr>
      </w:pPr>
    </w:p>
    <w:p w:rsidR="000E2A67" w:rsidRPr="005C4110" w:rsidRDefault="00487662" w:rsidP="005C4110">
      <w:pPr>
        <w:pStyle w:val="SemEspaamento"/>
        <w:jc w:val="center"/>
        <w:rPr>
          <w:rFonts w:ascii="Arial" w:hAnsi="Arial" w:cs="Arial"/>
          <w:b/>
        </w:rPr>
      </w:pPr>
      <w:r w:rsidRPr="005C4110">
        <w:rPr>
          <w:rFonts w:ascii="Arial" w:hAnsi="Arial" w:cs="Arial"/>
          <w:b/>
        </w:rPr>
        <w:t>Análise</w:t>
      </w:r>
      <w:r w:rsidR="000E2A67" w:rsidRPr="005C4110">
        <w:rPr>
          <w:rFonts w:ascii="Arial" w:hAnsi="Arial" w:cs="Arial"/>
          <w:b/>
        </w:rPr>
        <w:t>:</w:t>
      </w:r>
    </w:p>
    <w:p w:rsidR="001F21E0" w:rsidRPr="005C4110" w:rsidRDefault="001F21E0" w:rsidP="005C4110">
      <w:pPr>
        <w:pStyle w:val="SemEspaamento"/>
        <w:jc w:val="center"/>
        <w:rPr>
          <w:rFonts w:ascii="Arial" w:hAnsi="Arial" w:cs="Arial"/>
          <w:b/>
        </w:rPr>
      </w:pPr>
    </w:p>
    <w:p w:rsidR="00FC5EEC" w:rsidRPr="005C4110" w:rsidRDefault="000E2A67" w:rsidP="005C4110">
      <w:pPr>
        <w:pStyle w:val="SemEspaamento"/>
        <w:jc w:val="both"/>
        <w:rPr>
          <w:rFonts w:ascii="Arial" w:hAnsi="Arial" w:cs="Arial"/>
        </w:rPr>
      </w:pPr>
      <w:r w:rsidRPr="005C4110">
        <w:rPr>
          <w:rFonts w:ascii="Arial" w:hAnsi="Arial" w:cs="Arial"/>
          <w:b/>
        </w:rPr>
        <w:t>I –</w:t>
      </w:r>
      <w:r w:rsidRPr="005C4110">
        <w:rPr>
          <w:rFonts w:ascii="Arial" w:hAnsi="Arial" w:cs="Arial"/>
        </w:rPr>
        <w:t xml:space="preserve"> </w:t>
      </w:r>
      <w:r w:rsidRPr="005C4110">
        <w:rPr>
          <w:rFonts w:ascii="Arial" w:hAnsi="Arial" w:cs="Arial"/>
          <w:b/>
        </w:rPr>
        <w:t xml:space="preserve">Quanto </w:t>
      </w:r>
      <w:r w:rsidR="005406A5" w:rsidRPr="005C4110">
        <w:rPr>
          <w:rFonts w:ascii="Arial" w:hAnsi="Arial" w:cs="Arial"/>
          <w:b/>
        </w:rPr>
        <w:t>aos fundamentos legais para análise desta Comissão</w:t>
      </w:r>
      <w:r w:rsidR="008B46F2" w:rsidRPr="005C4110">
        <w:rPr>
          <w:rFonts w:ascii="Arial" w:hAnsi="Arial" w:cs="Arial"/>
        </w:rPr>
        <w:t>:</w:t>
      </w:r>
    </w:p>
    <w:p w:rsidR="000E2A67" w:rsidRPr="005C4110" w:rsidRDefault="000E2A67" w:rsidP="005C4110">
      <w:pPr>
        <w:pStyle w:val="SemEspaamento"/>
        <w:jc w:val="both"/>
        <w:rPr>
          <w:rFonts w:ascii="Arial" w:hAnsi="Arial" w:cs="Arial"/>
        </w:rPr>
      </w:pPr>
      <w:r w:rsidRPr="005C4110">
        <w:rPr>
          <w:rFonts w:ascii="Arial" w:hAnsi="Arial" w:cs="Arial"/>
        </w:rPr>
        <w:t>Art. 5</w:t>
      </w:r>
      <w:r w:rsidR="008D19A7" w:rsidRPr="005C4110">
        <w:rPr>
          <w:rFonts w:ascii="Arial" w:hAnsi="Arial" w:cs="Arial"/>
        </w:rPr>
        <w:t>6</w:t>
      </w:r>
      <w:r w:rsidRPr="005C4110">
        <w:rPr>
          <w:rFonts w:ascii="Arial" w:hAnsi="Arial" w:cs="Arial"/>
        </w:rPr>
        <w:t>, I, do Regimento Interno desta Casa</w:t>
      </w:r>
      <w:r w:rsidR="008B46F2" w:rsidRPr="005C4110">
        <w:rPr>
          <w:rFonts w:ascii="Arial" w:hAnsi="Arial" w:cs="Arial"/>
        </w:rPr>
        <w:t>;</w:t>
      </w:r>
    </w:p>
    <w:p w:rsidR="00E773FD" w:rsidRPr="005C4110" w:rsidRDefault="00E773FD" w:rsidP="005C4110">
      <w:pPr>
        <w:pStyle w:val="SemEspaamento"/>
        <w:jc w:val="both"/>
        <w:rPr>
          <w:rFonts w:ascii="Arial" w:hAnsi="Arial" w:cs="Arial"/>
        </w:rPr>
      </w:pPr>
    </w:p>
    <w:p w:rsidR="000E2A67" w:rsidRPr="005C4110" w:rsidRDefault="00B7738C" w:rsidP="005C4110">
      <w:pPr>
        <w:pStyle w:val="SemEspaamento"/>
        <w:rPr>
          <w:rFonts w:ascii="Arial" w:hAnsi="Arial" w:cs="Arial"/>
          <w:b/>
          <w:bCs/>
          <w:color w:val="000000"/>
        </w:rPr>
      </w:pPr>
      <w:r w:rsidRPr="005C4110">
        <w:rPr>
          <w:rFonts w:ascii="Arial" w:hAnsi="Arial" w:cs="Arial"/>
          <w:b/>
          <w:bCs/>
          <w:color w:val="000000"/>
        </w:rPr>
        <w:t>II – Quanto ao mérito:</w:t>
      </w:r>
    </w:p>
    <w:p w:rsidR="00210A9B" w:rsidRPr="005C4110" w:rsidRDefault="00210A9B" w:rsidP="005C4110">
      <w:pPr>
        <w:pStyle w:val="SemEspaamento"/>
        <w:rPr>
          <w:rFonts w:ascii="Arial" w:hAnsi="Arial" w:cs="Arial"/>
          <w:b/>
          <w:bCs/>
          <w:color w:val="000000"/>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As subvenções Sociais visam, fundamentalmente, custear despesas concernentes à prestação de serviços essenciais de assistência social, médica e educacional. A previsão legal das subvenções decorre da Lei Federal nº 4.320/64, cujos requisitos à sua concessão estão dispostos no art. 16, senão vejamos:</w:t>
      </w:r>
    </w:p>
    <w:p w:rsidR="0060634D" w:rsidRPr="005C4110" w:rsidRDefault="0060634D" w:rsidP="005C4110">
      <w:pPr>
        <w:spacing w:after="0" w:line="240" w:lineRule="auto"/>
        <w:ind w:firstLine="2268"/>
        <w:jc w:val="both"/>
        <w:rPr>
          <w:rFonts w:ascii="Arial" w:hAnsi="Arial" w:cs="Arial"/>
          <w:i/>
        </w:rPr>
      </w:pPr>
      <w:r w:rsidRPr="005C4110">
        <w:rPr>
          <w:rFonts w:ascii="Arial" w:hAnsi="Arial" w:cs="Arial"/>
          <w:i/>
        </w:rPr>
        <w:lastRenderedPageBreak/>
        <w:t>I) Das Subvenções Sociais</w:t>
      </w:r>
    </w:p>
    <w:p w:rsidR="0060634D" w:rsidRPr="005C4110" w:rsidRDefault="0060634D" w:rsidP="005C4110">
      <w:pPr>
        <w:spacing w:after="0" w:line="240" w:lineRule="auto"/>
        <w:ind w:firstLine="2268"/>
        <w:jc w:val="both"/>
        <w:rPr>
          <w:rFonts w:ascii="Arial" w:hAnsi="Arial" w:cs="Arial"/>
          <w:i/>
        </w:rPr>
      </w:pPr>
      <w:bookmarkStart w:id="3" w:name="art16"/>
      <w:bookmarkEnd w:id="3"/>
      <w:r w:rsidRPr="005C4110">
        <w:rPr>
          <w:rFonts w:ascii="Arial" w:hAnsi="Arial" w:cs="Arial"/>
          <w:i/>
        </w:rPr>
        <w:t xml:space="preserve">Art. 16. Fundamentalmente e nos limites das possibilidades financeiras a concessão de subvenções sociais visará a prestação de serviços essenciais de assistência social, médica e educacional, sempre que a suplementação de recursos de origem privada aplicados a </w:t>
      </w:r>
      <w:proofErr w:type="spellStart"/>
      <w:r w:rsidRPr="005C4110">
        <w:rPr>
          <w:rFonts w:ascii="Arial" w:hAnsi="Arial" w:cs="Arial"/>
          <w:i/>
        </w:rPr>
        <w:t>êsses</w:t>
      </w:r>
      <w:proofErr w:type="spellEnd"/>
      <w:r w:rsidRPr="005C4110">
        <w:rPr>
          <w:rFonts w:ascii="Arial" w:hAnsi="Arial" w:cs="Arial"/>
          <w:i/>
        </w:rPr>
        <w:t xml:space="preserve"> objetivos, revelar-se mais econômica.</w:t>
      </w:r>
    </w:p>
    <w:p w:rsidR="0060634D" w:rsidRPr="005C4110" w:rsidRDefault="0060634D" w:rsidP="005C4110">
      <w:pPr>
        <w:spacing w:after="0" w:line="240" w:lineRule="auto"/>
        <w:ind w:firstLine="2268"/>
        <w:jc w:val="both"/>
        <w:rPr>
          <w:rFonts w:ascii="Arial" w:hAnsi="Arial" w:cs="Arial"/>
          <w:i/>
        </w:rPr>
      </w:pPr>
      <w:bookmarkStart w:id="4" w:name="art16p"/>
      <w:bookmarkEnd w:id="4"/>
      <w:r w:rsidRPr="005C4110">
        <w:rPr>
          <w:rFonts w:ascii="Arial" w:hAnsi="Arial" w:cs="Arial"/>
          <w:i/>
        </w:rPr>
        <w:t>Parágrafo único. O valor das subvenções, sempre que possível, será calculado com base em unidades de serviços efetivamente prestados ou postos à disposição dos interessados obedecidos os padrões mínimos de eficiência previamente fixados.</w:t>
      </w:r>
    </w:p>
    <w:p w:rsidR="0060634D" w:rsidRPr="005C4110" w:rsidRDefault="0060634D" w:rsidP="005C4110">
      <w:pPr>
        <w:spacing w:after="0" w:line="240" w:lineRule="auto"/>
        <w:ind w:firstLine="2268"/>
        <w:jc w:val="both"/>
        <w:rPr>
          <w:rFonts w:ascii="Arial" w:hAnsi="Arial" w:cs="Arial"/>
          <w:i/>
        </w:rPr>
      </w:pPr>
      <w:bookmarkStart w:id="5" w:name="art17"/>
      <w:bookmarkEnd w:id="5"/>
      <w:r w:rsidRPr="005C4110">
        <w:rPr>
          <w:rFonts w:ascii="Arial" w:hAnsi="Arial" w:cs="Arial"/>
          <w:i/>
        </w:rPr>
        <w:t>Art. 17. Somente à instituição cujas condições de funcionamento forem julgadas satisfatórias pelos órgãos oficiais de fiscalização serão concedidas subvenções.</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Portanto, três são as exigências para concessão das subvenções:</w:t>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o Município tenha disponibilidade de recursos financeiros para sua concessão;</w:t>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o direcionamento de recursos se dê apenas para os serviços de assistência social, serviços médicos e serviços educacionais, em conformidade com a Constituição Federal, Capítulo I, Título VIII, da ordem social</w:t>
      </w:r>
      <w:r w:rsidRPr="005C4110">
        <w:rPr>
          <w:rFonts w:ascii="Arial" w:hAnsi="Arial" w:cs="Arial"/>
          <w:vertAlign w:val="superscript"/>
        </w:rPr>
        <w:footnoteReference w:id="1"/>
      </w:r>
    </w:p>
    <w:p w:rsidR="0060634D" w:rsidRPr="005C4110" w:rsidRDefault="0060634D" w:rsidP="005C4110">
      <w:pPr>
        <w:numPr>
          <w:ilvl w:val="0"/>
          <w:numId w:val="23"/>
        </w:numPr>
        <w:spacing w:after="0" w:line="240" w:lineRule="auto"/>
        <w:jc w:val="both"/>
        <w:rPr>
          <w:rFonts w:ascii="Arial" w:hAnsi="Arial" w:cs="Arial"/>
        </w:rPr>
      </w:pPr>
      <w:r w:rsidRPr="005C4110">
        <w:rPr>
          <w:rFonts w:ascii="Arial" w:hAnsi="Arial" w:cs="Arial"/>
        </w:rPr>
        <w:t>Que a subvenção social seja motivada pelo Ente Público, a fim de limitar o direcionamento da despesa pública às hipóteses que tragam efetivas utilidades à Entidade beneficiada, como por exemplo, pelo aumento do número de pessoas necessitadas dos serviços ou melhorias na qualidade do atendimento.</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No que tange a forma de efetivar o repasse, importante referir que a Lei nº 13019/2014 manteve a condição de formatação por “convênios”, as relações entre Entidades Públicas de diferentes esferas de Governo (União, Estados e Municípios), como também as relações entre as Entidades Públicas e Entidades sem fins lucrativos da área de assistência à saúde (art. 84, parágrafo único, II e II), que poderia ser o caso da presente propositura, caso o investimento fosse para projetos na área da saúde. Optou o Município, </w:t>
      </w:r>
      <w:proofErr w:type="gramStart"/>
      <w:r w:rsidRPr="005C4110">
        <w:rPr>
          <w:rFonts w:ascii="Arial" w:hAnsi="Arial" w:cs="Arial"/>
        </w:rPr>
        <w:t>entretanto,  utilizar</w:t>
      </w:r>
      <w:proofErr w:type="gramEnd"/>
      <w:r w:rsidRPr="005C4110">
        <w:rPr>
          <w:rFonts w:ascii="Arial" w:hAnsi="Arial" w:cs="Arial"/>
        </w:rPr>
        <w:t xml:space="preserve"> da via de assistência social, através de subvenção social, o que também é possível, exigido, todavia, outra formatação que não o convênio.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Desta forma, na hipótese de contribuição financeira do Poder Público Municipal em benefício de Entidades que atuam em áreas sociais diversas, para fomentar atividades voltadas a segmentos sociais, que é o caso, mister referir que como se trata de Entidade privada, e </w:t>
      </w:r>
      <w:proofErr w:type="gramStart"/>
      <w:r w:rsidRPr="005C4110">
        <w:rPr>
          <w:rFonts w:ascii="Arial" w:hAnsi="Arial" w:cs="Arial"/>
        </w:rPr>
        <w:t>que,  ainda</w:t>
      </w:r>
      <w:proofErr w:type="gramEnd"/>
      <w:r w:rsidRPr="005C4110">
        <w:rPr>
          <w:rFonts w:ascii="Arial" w:hAnsi="Arial" w:cs="Arial"/>
        </w:rPr>
        <w:t xml:space="preserve"> que sem fins lucrativos, há de se observar as demais situações legais quando aplica-se o regramento da Lei 13.019/2014 e Lei de Responsabilidade Fiscal.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lastRenderedPageBreak/>
        <w:t xml:space="preserve">Assim, havendo a transferência de recursos em benefício de Entidade da sociedade civil organizada, como é o caso do presente PL, </w:t>
      </w:r>
      <w:r w:rsidRPr="005C4110">
        <w:rPr>
          <w:rFonts w:ascii="Arial" w:hAnsi="Arial" w:cs="Arial"/>
          <w:u w:val="single"/>
        </w:rPr>
        <w:t>duas</w:t>
      </w:r>
      <w:r w:rsidRPr="005C4110">
        <w:rPr>
          <w:rFonts w:ascii="Arial" w:hAnsi="Arial" w:cs="Arial"/>
        </w:rPr>
        <w:t xml:space="preserve"> são as formas de viabilidade admitidas na referida lei: sendo o plano de trabalho de iniciativa da administração pública, a formatação deverá ser através de </w:t>
      </w:r>
      <w:r w:rsidRPr="005C4110">
        <w:rPr>
          <w:rFonts w:ascii="Arial" w:hAnsi="Arial" w:cs="Arial"/>
          <w:b/>
        </w:rPr>
        <w:t>termo de colaboração</w:t>
      </w:r>
      <w:r w:rsidRPr="005C4110">
        <w:rPr>
          <w:rFonts w:ascii="Arial" w:hAnsi="Arial" w:cs="Arial"/>
        </w:rPr>
        <w:t xml:space="preserve"> firmado entre o poder Público e a Entidade beneficiada. Porém, sendo o plano de trabalho decorrente da iniciativa da sociedade civil, </w:t>
      </w:r>
      <w:r w:rsidRPr="005C4110">
        <w:rPr>
          <w:rFonts w:ascii="Arial" w:hAnsi="Arial" w:cs="Arial"/>
          <w:u w:val="single"/>
        </w:rPr>
        <w:t>que parece ser o caso</w:t>
      </w:r>
      <w:r w:rsidRPr="005C4110">
        <w:rPr>
          <w:rFonts w:ascii="Arial" w:hAnsi="Arial" w:cs="Arial"/>
        </w:rPr>
        <w:t xml:space="preserve">, a formatação será através de </w:t>
      </w:r>
      <w:r w:rsidRPr="005C4110">
        <w:rPr>
          <w:rFonts w:ascii="Arial" w:hAnsi="Arial" w:cs="Arial"/>
          <w:b/>
        </w:rPr>
        <w:t>termo de fomento</w:t>
      </w:r>
      <w:r w:rsidRPr="005C4110">
        <w:rPr>
          <w:rFonts w:ascii="Arial" w:hAnsi="Arial" w:cs="Arial"/>
        </w:rPr>
        <w:t xml:space="preserve"> firmado entre a administração pública e a Entidade beneficiada. </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A lei 13.019/2014 prevê ainda a hipótese de inviabilidade de competição entre as organizações da sociedade civil, em razão da natureza singular do objeto do plano de trabalho, ou se as metas só puderem ser atingidas por uma Entidade específica, se for o caso.</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O próprio Decreto Municipal nº 007/2017, emitido pelo Executivo Municipal para regulamentar a Lei Federal 13019/2014, art. 10, estabelece os casos que poderão ser dispensados o chamamento público, entre os </w:t>
      </w:r>
      <w:proofErr w:type="gramStart"/>
      <w:r w:rsidRPr="005C4110">
        <w:rPr>
          <w:rFonts w:ascii="Arial" w:hAnsi="Arial" w:cs="Arial"/>
        </w:rPr>
        <w:t>quais  para</w:t>
      </w:r>
      <w:proofErr w:type="gramEnd"/>
      <w:r w:rsidRPr="005C4110">
        <w:rPr>
          <w:rFonts w:ascii="Arial" w:hAnsi="Arial" w:cs="Arial"/>
        </w:rPr>
        <w:t xml:space="preserve"> atividades voltadas ou vinculadas a serviços de educação, </w:t>
      </w:r>
      <w:r w:rsidRPr="005C4110">
        <w:rPr>
          <w:rFonts w:ascii="Arial" w:hAnsi="Arial" w:cs="Arial"/>
          <w:b/>
        </w:rPr>
        <w:t>saúde e</w:t>
      </w:r>
      <w:r w:rsidRPr="005C4110">
        <w:rPr>
          <w:rFonts w:ascii="Arial" w:hAnsi="Arial" w:cs="Arial"/>
        </w:rPr>
        <w:t xml:space="preserve"> </w:t>
      </w:r>
      <w:r w:rsidRPr="005C4110">
        <w:rPr>
          <w:rFonts w:ascii="Arial" w:hAnsi="Arial" w:cs="Arial"/>
          <w:b/>
        </w:rPr>
        <w:t>assistência social</w:t>
      </w:r>
      <w:r w:rsidRPr="005C4110">
        <w:rPr>
          <w:rFonts w:ascii="Arial" w:hAnsi="Arial" w:cs="Arial"/>
        </w:rPr>
        <w:t xml:space="preserve">, podendo  a administração pública, em confirmada esta situação, optar pela dispensa do chamamento público. </w:t>
      </w: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Contudo, a Lei de Responsabilidade Fiscal, objetivando conter desvios e prevenir abusos na destinação de recursos para o setor privado, prescreveu requisitos básicos conforme se depreende do art. 26, </w:t>
      </w:r>
      <w:r w:rsidRPr="005C4110">
        <w:rPr>
          <w:rFonts w:ascii="Arial" w:hAnsi="Arial" w:cs="Arial"/>
          <w:i/>
        </w:rPr>
        <w:t xml:space="preserve">in </w:t>
      </w:r>
      <w:proofErr w:type="spellStart"/>
      <w:r w:rsidRPr="005C4110">
        <w:rPr>
          <w:rFonts w:ascii="Arial" w:hAnsi="Arial" w:cs="Arial"/>
          <w:i/>
        </w:rPr>
        <w:t>verbis</w:t>
      </w:r>
      <w:proofErr w:type="spellEnd"/>
      <w:r w:rsidRPr="005C4110">
        <w:rPr>
          <w:rFonts w:ascii="Arial" w:hAnsi="Arial" w:cs="Arial"/>
        </w:rPr>
        <w:t>:</w:t>
      </w:r>
    </w:p>
    <w:p w:rsidR="0060634D" w:rsidRPr="005C4110" w:rsidRDefault="0060634D" w:rsidP="005C4110">
      <w:pPr>
        <w:spacing w:after="0" w:line="240" w:lineRule="auto"/>
        <w:ind w:firstLine="2268"/>
        <w:jc w:val="both"/>
        <w:rPr>
          <w:rFonts w:ascii="Arial" w:hAnsi="Arial" w:cs="Arial"/>
          <w:i/>
        </w:rPr>
      </w:pPr>
      <w:bookmarkStart w:id="6" w:name="art26"/>
      <w:bookmarkEnd w:id="6"/>
      <w:r w:rsidRPr="005C4110">
        <w:rPr>
          <w:rFonts w:ascii="Arial" w:hAnsi="Arial" w:cs="Arial"/>
          <w:i/>
        </w:rPr>
        <w:t>“Art. 26.</w:t>
      </w:r>
      <w:r w:rsidRPr="005C4110">
        <w:rPr>
          <w:rFonts w:ascii="Arial" w:hAnsi="Arial" w:cs="Arial"/>
          <w:b/>
          <w:bCs/>
          <w:i/>
        </w:rPr>
        <w:t> </w:t>
      </w:r>
      <w:r w:rsidRPr="005C4110">
        <w:rPr>
          <w:rFonts w:ascii="Arial" w:hAnsi="Arial" w:cs="Arial"/>
          <w:i/>
        </w:rPr>
        <w:t xml:space="preserve">A destinação de recursos </w:t>
      </w:r>
      <w:proofErr w:type="gramStart"/>
      <w:r w:rsidRPr="005C4110">
        <w:rPr>
          <w:rFonts w:ascii="Arial" w:hAnsi="Arial" w:cs="Arial"/>
          <w:i/>
        </w:rPr>
        <w:t>para, direta</w:t>
      </w:r>
      <w:proofErr w:type="gramEnd"/>
      <w:r w:rsidRPr="005C4110">
        <w:rPr>
          <w:rFonts w:ascii="Arial" w:hAnsi="Arial" w:cs="Arial"/>
          <w:i/>
        </w:rPr>
        <w:t xml:space="preserve"> ou indiretamente, cobrir necessidades de pessoas físicas ou déficits de pessoas jurídicas deverá ser autorizada por lei específica, atender às condições estabelecidas na lei de diretrizes orçamentárias e estar prevista no orçamento ou em seus créditos adicionais.”</w:t>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Portanto, três requisitos são básicos e devem ser observados, em cumprimento à Lei de Responsabilidade Fiscal, na concessão de subvenções sociais:</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autorização por lei específica;</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atendimento das condições estabelecidas na LDO – Lei de Diretrizes orçamentárias;</w:t>
      </w:r>
    </w:p>
    <w:p w:rsidR="0060634D" w:rsidRPr="005C4110" w:rsidRDefault="0060634D" w:rsidP="005C4110">
      <w:pPr>
        <w:numPr>
          <w:ilvl w:val="0"/>
          <w:numId w:val="24"/>
        </w:numPr>
        <w:spacing w:after="0" w:line="240" w:lineRule="auto"/>
        <w:jc w:val="both"/>
        <w:rPr>
          <w:rFonts w:ascii="Arial" w:hAnsi="Arial" w:cs="Arial"/>
        </w:rPr>
      </w:pPr>
      <w:r w:rsidRPr="005C4110">
        <w:rPr>
          <w:rFonts w:ascii="Arial" w:hAnsi="Arial" w:cs="Arial"/>
        </w:rPr>
        <w:t>Inclusão da despesa pública no orçamento, com fixação dos elementos da despesa, com definição do valor a ser repassado, sendo vedada a concessão ou utilização de créditos ilimitados</w:t>
      </w:r>
      <w:r w:rsidRPr="005C4110">
        <w:rPr>
          <w:rFonts w:ascii="Arial" w:hAnsi="Arial" w:cs="Arial"/>
          <w:vertAlign w:val="superscript"/>
        </w:rPr>
        <w:footnoteReference w:id="2"/>
      </w:r>
    </w:p>
    <w:p w:rsidR="0060634D" w:rsidRPr="005C4110" w:rsidRDefault="0060634D" w:rsidP="005C4110">
      <w:pPr>
        <w:spacing w:after="0" w:line="240" w:lineRule="auto"/>
        <w:ind w:firstLine="2268"/>
        <w:jc w:val="both"/>
        <w:rPr>
          <w:rFonts w:ascii="Arial" w:hAnsi="Arial" w:cs="Arial"/>
        </w:rPr>
      </w:pPr>
    </w:p>
    <w:p w:rsidR="0060634D" w:rsidRPr="005C4110" w:rsidRDefault="0060634D" w:rsidP="005C4110">
      <w:pPr>
        <w:spacing w:after="0" w:line="240" w:lineRule="auto"/>
        <w:ind w:firstLine="2268"/>
        <w:jc w:val="both"/>
        <w:rPr>
          <w:rFonts w:ascii="Arial" w:hAnsi="Arial" w:cs="Arial"/>
        </w:rPr>
      </w:pPr>
      <w:r w:rsidRPr="005C4110">
        <w:rPr>
          <w:rFonts w:ascii="Arial" w:hAnsi="Arial" w:cs="Arial"/>
        </w:rPr>
        <w:t xml:space="preserve"> Neste sentido, cumpridas as disposições legais acima referidas, é possível aos municípios transferirem recursos públicos a título de subvenções sociais ou repasses em favor de Entidade da sociedade civil organizada, com base no </w:t>
      </w:r>
      <w:proofErr w:type="spellStart"/>
      <w:r w:rsidRPr="005C4110">
        <w:rPr>
          <w:rFonts w:ascii="Arial" w:hAnsi="Arial" w:cs="Arial"/>
        </w:rPr>
        <w:t>art</w:t>
      </w:r>
      <w:proofErr w:type="spellEnd"/>
      <w:r w:rsidRPr="005C4110">
        <w:rPr>
          <w:rFonts w:ascii="Arial" w:hAnsi="Arial" w:cs="Arial"/>
        </w:rPr>
        <w:t xml:space="preserve">, 26 </w:t>
      </w:r>
      <w:r w:rsidRPr="005C4110">
        <w:rPr>
          <w:rFonts w:ascii="Arial" w:hAnsi="Arial" w:cs="Arial"/>
        </w:rPr>
        <w:lastRenderedPageBreak/>
        <w:t xml:space="preserve">da LRF, desde que em consonância à LDO e cumprido o rito da Lei 13.019/2014, para execução do repasse. </w:t>
      </w:r>
    </w:p>
    <w:p w:rsidR="00D7060C" w:rsidRPr="005C4110" w:rsidRDefault="00D7060C" w:rsidP="005C4110">
      <w:pPr>
        <w:spacing w:after="0" w:line="240" w:lineRule="auto"/>
        <w:ind w:firstLine="2268"/>
        <w:jc w:val="both"/>
        <w:rPr>
          <w:rFonts w:ascii="Arial" w:hAnsi="Arial" w:cs="Arial"/>
        </w:rPr>
      </w:pPr>
    </w:p>
    <w:p w:rsidR="00210A9B" w:rsidRPr="005C4110" w:rsidRDefault="00210A9B" w:rsidP="005C4110">
      <w:pPr>
        <w:pStyle w:val="SemEspaamento"/>
        <w:rPr>
          <w:rFonts w:ascii="Arial" w:hAnsi="Arial" w:cs="Arial"/>
          <w:b/>
          <w:bCs/>
          <w:color w:val="000000"/>
        </w:rPr>
      </w:pPr>
    </w:p>
    <w:p w:rsidR="00A33CA8" w:rsidRPr="005C4110" w:rsidRDefault="00A33CA8" w:rsidP="005C4110">
      <w:pPr>
        <w:tabs>
          <w:tab w:val="left" w:pos="2268"/>
          <w:tab w:val="left" w:pos="5059"/>
        </w:tabs>
        <w:spacing w:line="240" w:lineRule="auto"/>
        <w:jc w:val="center"/>
        <w:rPr>
          <w:rFonts w:ascii="Arial" w:eastAsia="Calibri" w:hAnsi="Arial" w:cs="Arial"/>
          <w:b/>
        </w:rPr>
      </w:pPr>
      <w:r w:rsidRPr="005C4110">
        <w:rPr>
          <w:rFonts w:ascii="Arial" w:eastAsia="Calibri" w:hAnsi="Arial" w:cs="Arial"/>
          <w:b/>
        </w:rPr>
        <w:t>Conclusão do Voto:</w:t>
      </w:r>
    </w:p>
    <w:p w:rsidR="005C5A39" w:rsidRPr="005C4110" w:rsidRDefault="00A33CA8" w:rsidP="005C4110">
      <w:pPr>
        <w:spacing w:line="240" w:lineRule="auto"/>
        <w:ind w:firstLine="2268"/>
        <w:jc w:val="both"/>
        <w:rPr>
          <w:rFonts w:ascii="Arial" w:eastAsia="Calibri" w:hAnsi="Arial" w:cs="Arial"/>
        </w:rPr>
      </w:pPr>
      <w:r w:rsidRPr="005C4110">
        <w:rPr>
          <w:rFonts w:ascii="Arial" w:eastAsia="Calibri" w:hAnsi="Arial" w:cs="Arial"/>
        </w:rPr>
        <w:tab/>
      </w:r>
      <w:r w:rsidR="005C5A39" w:rsidRPr="005C4110">
        <w:rPr>
          <w:rFonts w:ascii="Arial" w:eastAsia="Calibri" w:hAnsi="Arial" w:cs="Arial"/>
        </w:rPr>
        <w:t>Diante dos fundamentos legais e constitucionais expostos, com fundamento na Orientação Jurídica da Procuradora Geral desta Casa, esta Relatoria, depois de debate realizado na Comissão, disponibiliza o pres</w:t>
      </w:r>
      <w:r w:rsidR="002F3FFB" w:rsidRPr="005C4110">
        <w:rPr>
          <w:rFonts w:ascii="Arial" w:eastAsia="Calibri" w:hAnsi="Arial" w:cs="Arial"/>
        </w:rPr>
        <w:t>ente voto concluindo que o PL 0</w:t>
      </w:r>
      <w:r w:rsidR="0060634D" w:rsidRPr="005C4110">
        <w:rPr>
          <w:rFonts w:ascii="Arial" w:eastAsia="Calibri" w:hAnsi="Arial" w:cs="Arial"/>
        </w:rPr>
        <w:t>5</w:t>
      </w:r>
      <w:r w:rsidR="00D51BA2">
        <w:rPr>
          <w:rFonts w:ascii="Arial" w:eastAsia="Calibri" w:hAnsi="Arial" w:cs="Arial"/>
        </w:rPr>
        <w:t>2</w:t>
      </w:r>
      <w:r w:rsidR="005C5A39" w:rsidRPr="005C4110">
        <w:rPr>
          <w:rFonts w:ascii="Arial" w:eastAsia="Calibri" w:hAnsi="Arial" w:cs="Arial"/>
        </w:rPr>
        <w:t xml:space="preserve">/2018 </w:t>
      </w:r>
      <w:r w:rsidR="00FF40F3" w:rsidRPr="005C4110">
        <w:rPr>
          <w:rFonts w:ascii="Arial" w:eastAsia="Calibri" w:hAnsi="Arial" w:cs="Arial"/>
        </w:rPr>
        <w:t>é viável à tramitação.</w:t>
      </w:r>
    </w:p>
    <w:p w:rsidR="00A33CA8" w:rsidRPr="005C4110" w:rsidRDefault="00A33CA8" w:rsidP="005C4110">
      <w:pPr>
        <w:tabs>
          <w:tab w:val="left" w:pos="1701"/>
          <w:tab w:val="left" w:pos="5059"/>
        </w:tabs>
        <w:spacing w:line="240" w:lineRule="auto"/>
        <w:jc w:val="center"/>
        <w:rPr>
          <w:rFonts w:ascii="Arial" w:eastAsia="Calibri" w:hAnsi="Arial" w:cs="Arial"/>
        </w:rPr>
      </w:pPr>
      <w:r w:rsidRPr="005C4110">
        <w:rPr>
          <w:rFonts w:ascii="Arial" w:eastAsia="Calibri" w:hAnsi="Arial" w:cs="Arial"/>
        </w:rPr>
        <w:t xml:space="preserve">Sala das Comissões, em </w:t>
      </w:r>
      <w:r w:rsidR="0060634D" w:rsidRPr="005C4110">
        <w:rPr>
          <w:rFonts w:ascii="Arial" w:eastAsia="Calibri" w:hAnsi="Arial" w:cs="Arial"/>
        </w:rPr>
        <w:t>1</w:t>
      </w:r>
      <w:r w:rsidR="00BF30EB">
        <w:rPr>
          <w:rFonts w:ascii="Arial" w:eastAsia="Calibri" w:hAnsi="Arial" w:cs="Arial"/>
        </w:rPr>
        <w:t>7</w:t>
      </w:r>
      <w:r w:rsidRPr="005C4110">
        <w:rPr>
          <w:rFonts w:ascii="Arial" w:eastAsia="Calibri" w:hAnsi="Arial" w:cs="Arial"/>
        </w:rPr>
        <w:t xml:space="preserve"> d</w:t>
      </w:r>
      <w:r w:rsidR="00F44B3F" w:rsidRPr="005C4110">
        <w:rPr>
          <w:rFonts w:ascii="Arial" w:eastAsia="Calibri" w:hAnsi="Arial" w:cs="Arial"/>
        </w:rPr>
        <w:t xml:space="preserve">e </w:t>
      </w:r>
      <w:r w:rsidR="004F79A7" w:rsidRPr="005C4110">
        <w:rPr>
          <w:rFonts w:ascii="Arial" w:eastAsia="Calibri" w:hAnsi="Arial" w:cs="Arial"/>
        </w:rPr>
        <w:t>outu</w:t>
      </w:r>
      <w:r w:rsidR="00A3267F" w:rsidRPr="005C4110">
        <w:rPr>
          <w:rFonts w:ascii="Arial" w:eastAsia="Calibri" w:hAnsi="Arial" w:cs="Arial"/>
        </w:rPr>
        <w:t>bro</w:t>
      </w:r>
      <w:r w:rsidRPr="005C4110">
        <w:rPr>
          <w:rFonts w:ascii="Arial" w:eastAsia="Calibri" w:hAnsi="Arial" w:cs="Arial"/>
        </w:rPr>
        <w:t xml:space="preserve"> de 2018.</w:t>
      </w:r>
    </w:p>
    <w:p w:rsidR="00CD21ED" w:rsidRPr="005C4110" w:rsidRDefault="00CD21ED" w:rsidP="005C4110">
      <w:pPr>
        <w:pStyle w:val="SemEspaamento"/>
        <w:ind w:firstLine="1701"/>
        <w:jc w:val="both"/>
        <w:rPr>
          <w:rFonts w:ascii="Arial" w:hAnsi="Arial" w:cs="Arial"/>
        </w:rPr>
      </w:pPr>
    </w:p>
    <w:p w:rsidR="005C4110" w:rsidRPr="005C4110" w:rsidRDefault="005C4110" w:rsidP="005C4110">
      <w:pPr>
        <w:pStyle w:val="SemEspaamento"/>
        <w:ind w:firstLine="1701"/>
        <w:jc w:val="both"/>
        <w:rPr>
          <w:rFonts w:ascii="Arial" w:hAnsi="Arial" w:cs="Arial"/>
        </w:rPr>
      </w:pPr>
    </w:p>
    <w:p w:rsidR="005C4110" w:rsidRPr="005C4110" w:rsidRDefault="005C4110" w:rsidP="005C4110">
      <w:pPr>
        <w:pStyle w:val="SemEspaamento"/>
        <w:ind w:left="2832" w:firstLine="287"/>
        <w:rPr>
          <w:rFonts w:ascii="Arial" w:hAnsi="Arial" w:cs="Arial"/>
        </w:rPr>
      </w:pPr>
      <w:r w:rsidRPr="005C4110">
        <w:rPr>
          <w:rFonts w:ascii="Arial" w:hAnsi="Arial" w:cs="Arial"/>
        </w:rPr>
        <w:t xml:space="preserve">Ver. </w:t>
      </w:r>
      <w:proofErr w:type="spellStart"/>
      <w:r w:rsidRPr="005C4110">
        <w:rPr>
          <w:rFonts w:ascii="Arial" w:hAnsi="Arial" w:cs="Arial"/>
        </w:rPr>
        <w:t>Rosi</w:t>
      </w:r>
      <w:proofErr w:type="spellEnd"/>
      <w:r w:rsidRPr="005C4110">
        <w:rPr>
          <w:rFonts w:ascii="Arial" w:hAnsi="Arial" w:cs="Arial"/>
        </w:rPr>
        <w:t xml:space="preserve"> </w:t>
      </w:r>
      <w:proofErr w:type="spellStart"/>
      <w:r w:rsidRPr="005C4110">
        <w:rPr>
          <w:rFonts w:ascii="Arial" w:hAnsi="Arial" w:cs="Arial"/>
        </w:rPr>
        <w:t>Ecker</w:t>
      </w:r>
      <w:proofErr w:type="spellEnd"/>
      <w:r w:rsidRPr="005C4110">
        <w:rPr>
          <w:rFonts w:ascii="Arial" w:hAnsi="Arial" w:cs="Arial"/>
        </w:rPr>
        <w:t xml:space="preserve"> Schmitt</w:t>
      </w:r>
    </w:p>
    <w:p w:rsidR="005C4110" w:rsidRPr="005C4110" w:rsidRDefault="005C4110" w:rsidP="005C4110">
      <w:pPr>
        <w:pStyle w:val="SemEspaamento"/>
        <w:jc w:val="center"/>
        <w:rPr>
          <w:rFonts w:ascii="Arial" w:hAnsi="Arial" w:cs="Arial"/>
        </w:rPr>
      </w:pPr>
      <w:proofErr w:type="gramStart"/>
      <w:r w:rsidRPr="005C4110">
        <w:rPr>
          <w:rFonts w:ascii="Arial" w:hAnsi="Arial" w:cs="Arial"/>
        </w:rPr>
        <w:t>Vice- Presidente</w:t>
      </w:r>
      <w:proofErr w:type="gramEnd"/>
    </w:p>
    <w:p w:rsidR="00A73030" w:rsidRPr="005C4110" w:rsidRDefault="00C1302F" w:rsidP="005C4110">
      <w:pPr>
        <w:pStyle w:val="SemEspaamento"/>
        <w:jc w:val="center"/>
        <w:rPr>
          <w:rFonts w:ascii="Arial" w:hAnsi="Arial" w:cs="Arial"/>
        </w:rPr>
      </w:pPr>
      <w:r w:rsidRPr="005C4110">
        <w:rPr>
          <w:rFonts w:ascii="Arial" w:hAnsi="Arial" w:cs="Arial"/>
        </w:rPr>
        <w:t>Relator</w:t>
      </w:r>
    </w:p>
    <w:p w:rsidR="00487662" w:rsidRPr="005C4110" w:rsidRDefault="00487662" w:rsidP="005C4110">
      <w:pPr>
        <w:pStyle w:val="SemEspaamento"/>
        <w:jc w:val="center"/>
        <w:rPr>
          <w:rFonts w:ascii="Arial" w:hAnsi="Arial" w:cs="Arial"/>
        </w:rPr>
      </w:pPr>
      <w:r w:rsidRPr="005C4110">
        <w:rPr>
          <w:rFonts w:ascii="Arial" w:hAnsi="Arial" w:cs="Arial"/>
        </w:rPr>
        <w:t>Acompanhando o voto d</w:t>
      </w:r>
      <w:r w:rsidR="00762785" w:rsidRPr="005C4110">
        <w:rPr>
          <w:rFonts w:ascii="Arial" w:hAnsi="Arial" w:cs="Arial"/>
        </w:rPr>
        <w:t>o</w:t>
      </w:r>
      <w:r w:rsidRPr="005C4110">
        <w:rPr>
          <w:rFonts w:ascii="Arial" w:hAnsi="Arial" w:cs="Arial"/>
        </w:rPr>
        <w:t xml:space="preserve"> relator:</w:t>
      </w: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p>
    <w:p w:rsidR="00210A9B" w:rsidRPr="005C4110" w:rsidRDefault="00210A9B" w:rsidP="005C4110">
      <w:pPr>
        <w:pStyle w:val="SemEspaamento"/>
        <w:jc w:val="center"/>
        <w:rPr>
          <w:rFonts w:ascii="Arial" w:hAnsi="Arial" w:cs="Arial"/>
        </w:rPr>
      </w:pPr>
      <w:r w:rsidRPr="005C4110">
        <w:rPr>
          <w:rFonts w:ascii="Arial" w:hAnsi="Arial" w:cs="Arial"/>
        </w:rPr>
        <w:t>Ver. Ubiratã Oliveira</w:t>
      </w:r>
    </w:p>
    <w:p w:rsidR="00210A9B" w:rsidRPr="005C4110" w:rsidRDefault="00210A9B" w:rsidP="005C4110">
      <w:pPr>
        <w:pStyle w:val="SemEspaamento"/>
        <w:jc w:val="center"/>
        <w:rPr>
          <w:rFonts w:ascii="Arial" w:hAnsi="Arial" w:cs="Arial"/>
        </w:rPr>
      </w:pPr>
      <w:r w:rsidRPr="005C4110">
        <w:rPr>
          <w:rFonts w:ascii="Arial" w:hAnsi="Arial" w:cs="Arial"/>
        </w:rPr>
        <w:t xml:space="preserve">Presidente  </w:t>
      </w:r>
    </w:p>
    <w:p w:rsidR="005C4110" w:rsidRPr="005C4110" w:rsidRDefault="005C4110"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p>
    <w:p w:rsidR="005C4110" w:rsidRPr="005C4110" w:rsidRDefault="005C4110" w:rsidP="005C4110">
      <w:pPr>
        <w:pStyle w:val="SemEspaamento"/>
        <w:jc w:val="center"/>
        <w:rPr>
          <w:rFonts w:ascii="Arial" w:hAnsi="Arial" w:cs="Arial"/>
        </w:rPr>
      </w:pPr>
      <w:r w:rsidRPr="005C4110">
        <w:rPr>
          <w:rFonts w:ascii="Arial" w:hAnsi="Arial" w:cs="Arial"/>
        </w:rPr>
        <w:t>Ver. Professor Daniel</w:t>
      </w:r>
    </w:p>
    <w:p w:rsidR="005C4110" w:rsidRPr="005C4110" w:rsidRDefault="005C4110" w:rsidP="005C4110">
      <w:pPr>
        <w:pStyle w:val="SemEspaamento"/>
        <w:jc w:val="center"/>
        <w:rPr>
          <w:rFonts w:ascii="Arial" w:hAnsi="Arial" w:cs="Arial"/>
        </w:rPr>
      </w:pPr>
      <w:r w:rsidRPr="005C4110">
        <w:rPr>
          <w:rFonts w:ascii="Arial" w:hAnsi="Arial" w:cs="Arial"/>
        </w:rPr>
        <w:t>Membro</w:t>
      </w:r>
    </w:p>
    <w:p w:rsidR="005C4110" w:rsidRPr="005C4110" w:rsidRDefault="005C4110" w:rsidP="005C4110">
      <w:pPr>
        <w:pStyle w:val="SemEspaamento"/>
        <w:jc w:val="center"/>
        <w:rPr>
          <w:rFonts w:ascii="Arial" w:hAnsi="Arial" w:cs="Arial"/>
        </w:rPr>
      </w:pPr>
    </w:p>
    <w:p w:rsidR="00847BC8" w:rsidRPr="005C4110" w:rsidRDefault="00847BC8" w:rsidP="005C4110">
      <w:pPr>
        <w:pStyle w:val="SemEspaamento"/>
        <w:jc w:val="center"/>
        <w:rPr>
          <w:rFonts w:ascii="Arial" w:hAnsi="Arial" w:cs="Arial"/>
        </w:rPr>
      </w:pPr>
    </w:p>
    <w:p w:rsidR="00A3267F" w:rsidRPr="005C4110" w:rsidRDefault="00A3267F" w:rsidP="005C4110">
      <w:pPr>
        <w:pStyle w:val="SemEspaamento"/>
        <w:jc w:val="center"/>
        <w:rPr>
          <w:rFonts w:ascii="Arial" w:hAnsi="Arial" w:cs="Arial"/>
        </w:rPr>
      </w:pPr>
    </w:p>
    <w:p w:rsidR="00CD21ED" w:rsidRPr="005C4110" w:rsidRDefault="00CD21ED" w:rsidP="005C4110">
      <w:pPr>
        <w:pStyle w:val="SemEspaamento"/>
        <w:ind w:left="2832" w:firstLine="287"/>
        <w:rPr>
          <w:rFonts w:ascii="Arial" w:hAnsi="Arial" w:cs="Arial"/>
        </w:rPr>
      </w:pPr>
    </w:p>
    <w:sectPr w:rsidR="00CD21ED" w:rsidRPr="005C4110"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 w:id="1">
    <w:p w:rsidR="0060634D" w:rsidRPr="00C820DC" w:rsidRDefault="0060634D" w:rsidP="0060634D">
      <w:pPr>
        <w:pStyle w:val="NormalWeb"/>
        <w:shd w:val="clear" w:color="auto" w:fill="FFFFFF"/>
        <w:ind w:firstLine="525"/>
        <w:rPr>
          <w:color w:val="000000"/>
        </w:rPr>
      </w:pPr>
      <w:r>
        <w:rPr>
          <w:rStyle w:val="Refdenotaderodap"/>
        </w:rPr>
        <w:footnoteRef/>
      </w:r>
      <w:r>
        <w:t xml:space="preserve"> </w:t>
      </w:r>
      <w:r w:rsidRPr="005605F3">
        <w:rPr>
          <w:rFonts w:ascii="Arial" w:hAnsi="Arial" w:cs="Arial"/>
          <w:color w:val="000000"/>
          <w:sz w:val="18"/>
          <w:szCs w:val="18"/>
        </w:rPr>
        <w:t>Art. 193. A ordem social tem como base o primado do trabalho, e como objetivo o bem-estar e a justiça sociais</w:t>
      </w:r>
      <w:r w:rsidRPr="00C820DC">
        <w:rPr>
          <w:rFonts w:ascii="Arial" w:hAnsi="Arial" w:cs="Arial"/>
          <w:color w:val="000000"/>
        </w:rPr>
        <w:t>.</w:t>
      </w:r>
    </w:p>
    <w:p w:rsidR="0060634D" w:rsidRDefault="0060634D" w:rsidP="0060634D">
      <w:pPr>
        <w:pStyle w:val="Textodenotaderodap"/>
      </w:pPr>
    </w:p>
  </w:footnote>
  <w:footnote w:id="2">
    <w:p w:rsidR="0060634D" w:rsidRPr="00B7411D" w:rsidRDefault="0060634D" w:rsidP="0060634D">
      <w:pPr>
        <w:pStyle w:val="NormalWeb"/>
        <w:ind w:firstLine="525"/>
        <w:rPr>
          <w:i/>
          <w:color w:val="000000"/>
          <w:sz w:val="18"/>
          <w:szCs w:val="18"/>
        </w:rPr>
      </w:pPr>
      <w:r w:rsidRPr="00B7411D">
        <w:rPr>
          <w:rStyle w:val="Refdenotaderodap"/>
          <w:i/>
          <w:sz w:val="18"/>
          <w:szCs w:val="18"/>
        </w:rPr>
        <w:footnoteRef/>
      </w:r>
      <w:r w:rsidRPr="00B7411D">
        <w:rPr>
          <w:i/>
          <w:sz w:val="18"/>
          <w:szCs w:val="18"/>
        </w:rPr>
        <w:t xml:space="preserve"> </w:t>
      </w:r>
      <w:r w:rsidRPr="00B7411D">
        <w:rPr>
          <w:rFonts w:ascii="Arial" w:hAnsi="Arial" w:cs="Arial"/>
          <w:i/>
          <w:color w:val="000000"/>
          <w:sz w:val="18"/>
          <w:szCs w:val="18"/>
        </w:rPr>
        <w:t>Art. 167. São vedados:</w:t>
      </w:r>
    </w:p>
    <w:p w:rsidR="0060634D" w:rsidRPr="00B7411D" w:rsidRDefault="0060634D" w:rsidP="0060634D">
      <w:pPr>
        <w:pStyle w:val="NormalWeb"/>
        <w:ind w:firstLine="525"/>
        <w:rPr>
          <w:i/>
          <w:color w:val="000000"/>
          <w:sz w:val="18"/>
          <w:szCs w:val="18"/>
        </w:rPr>
      </w:pPr>
      <w:r w:rsidRPr="00B7411D">
        <w:rPr>
          <w:rFonts w:ascii="Arial" w:hAnsi="Arial" w:cs="Arial"/>
          <w:i/>
          <w:color w:val="000000"/>
          <w:sz w:val="18"/>
          <w:szCs w:val="18"/>
        </w:rPr>
        <w:t xml:space="preserve">I - </w:t>
      </w:r>
      <w:proofErr w:type="gramStart"/>
      <w:r w:rsidRPr="00B7411D">
        <w:rPr>
          <w:rFonts w:ascii="Arial" w:hAnsi="Arial" w:cs="Arial"/>
          <w:i/>
          <w:color w:val="000000"/>
          <w:sz w:val="18"/>
          <w:szCs w:val="18"/>
        </w:rPr>
        <w:t>o</w:t>
      </w:r>
      <w:proofErr w:type="gramEnd"/>
      <w:r w:rsidRPr="00B7411D">
        <w:rPr>
          <w:rFonts w:ascii="Arial" w:hAnsi="Arial" w:cs="Arial"/>
          <w:i/>
          <w:color w:val="000000"/>
          <w:sz w:val="18"/>
          <w:szCs w:val="18"/>
        </w:rPr>
        <w:t xml:space="preserve"> início de programas ou projetos não incluídos na lei orçamentária anual;</w:t>
      </w:r>
    </w:p>
    <w:p w:rsidR="0060634D" w:rsidRPr="00B7411D" w:rsidRDefault="0060634D" w:rsidP="0060634D">
      <w:pPr>
        <w:pStyle w:val="NormalWeb"/>
        <w:ind w:firstLine="525"/>
        <w:rPr>
          <w:i/>
          <w:color w:val="000000"/>
          <w:sz w:val="18"/>
          <w:szCs w:val="18"/>
        </w:rPr>
      </w:pPr>
      <w:r w:rsidRPr="00B7411D">
        <w:rPr>
          <w:rFonts w:ascii="Arial" w:hAnsi="Arial" w:cs="Arial"/>
          <w:i/>
          <w:color w:val="000000"/>
          <w:sz w:val="18"/>
          <w:szCs w:val="18"/>
        </w:rPr>
        <w:t>VII - a concessão ou utilização de créditos ilimitados;</w:t>
      </w:r>
    </w:p>
    <w:p w:rsidR="0060634D" w:rsidRDefault="0060634D" w:rsidP="0060634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A83F1A"/>
    <w:multiLevelType w:val="hybridMultilevel"/>
    <w:tmpl w:val="8AC0914E"/>
    <w:lvl w:ilvl="0" w:tplc="04160017">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1" w15:restartNumberingAfterBreak="0">
    <w:nsid w:val="39DA107A"/>
    <w:multiLevelType w:val="hybridMultilevel"/>
    <w:tmpl w:val="7A0A72B0"/>
    <w:lvl w:ilvl="0" w:tplc="2FDEAD48">
      <w:start w:val="1"/>
      <w:numFmt w:val="upperRoman"/>
      <w:lvlText w:val="%1"/>
      <w:lvlJc w:val="left"/>
      <w:pPr>
        <w:ind w:left="102" w:hanging="125"/>
      </w:pPr>
      <w:rPr>
        <w:rFonts w:ascii="Arial" w:eastAsia="Arial" w:hAnsi="Arial" w:cs="Arial" w:hint="default"/>
        <w:i/>
        <w:w w:val="99"/>
        <w:sz w:val="20"/>
        <w:szCs w:val="20"/>
        <w:lang w:val="pt-BR" w:eastAsia="pt-BR" w:bidi="pt-BR"/>
      </w:rPr>
    </w:lvl>
    <w:lvl w:ilvl="1" w:tplc="11A8C7E6">
      <w:start w:val="1"/>
      <w:numFmt w:val="decimal"/>
      <w:lvlText w:val="%2."/>
      <w:lvlJc w:val="left"/>
      <w:pPr>
        <w:ind w:left="102" w:hanging="303"/>
      </w:pPr>
      <w:rPr>
        <w:rFonts w:ascii="Arial" w:eastAsia="Arial" w:hAnsi="Arial" w:cs="Arial" w:hint="default"/>
        <w:w w:val="99"/>
        <w:sz w:val="24"/>
        <w:szCs w:val="24"/>
        <w:lang w:val="pt-BR" w:eastAsia="pt-BR" w:bidi="pt-BR"/>
      </w:rPr>
    </w:lvl>
    <w:lvl w:ilvl="2" w:tplc="6D805070">
      <w:numFmt w:val="bullet"/>
      <w:lvlText w:val="•"/>
      <w:lvlJc w:val="left"/>
      <w:pPr>
        <w:ind w:left="1539" w:hanging="303"/>
      </w:pPr>
      <w:rPr>
        <w:rFonts w:hint="default"/>
        <w:lang w:val="pt-BR" w:eastAsia="pt-BR" w:bidi="pt-BR"/>
      </w:rPr>
    </w:lvl>
    <w:lvl w:ilvl="3" w:tplc="3FC4B458">
      <w:numFmt w:val="bullet"/>
      <w:lvlText w:val="•"/>
      <w:lvlJc w:val="left"/>
      <w:pPr>
        <w:ind w:left="2259" w:hanging="303"/>
      </w:pPr>
      <w:rPr>
        <w:rFonts w:hint="default"/>
        <w:lang w:val="pt-BR" w:eastAsia="pt-BR" w:bidi="pt-BR"/>
      </w:rPr>
    </w:lvl>
    <w:lvl w:ilvl="4" w:tplc="468CB51A">
      <w:numFmt w:val="bullet"/>
      <w:lvlText w:val="•"/>
      <w:lvlJc w:val="left"/>
      <w:pPr>
        <w:ind w:left="2979" w:hanging="303"/>
      </w:pPr>
      <w:rPr>
        <w:rFonts w:hint="default"/>
        <w:lang w:val="pt-BR" w:eastAsia="pt-BR" w:bidi="pt-BR"/>
      </w:rPr>
    </w:lvl>
    <w:lvl w:ilvl="5" w:tplc="3918AECA">
      <w:numFmt w:val="bullet"/>
      <w:lvlText w:val="•"/>
      <w:lvlJc w:val="left"/>
      <w:pPr>
        <w:ind w:left="3698" w:hanging="303"/>
      </w:pPr>
      <w:rPr>
        <w:rFonts w:hint="default"/>
        <w:lang w:val="pt-BR" w:eastAsia="pt-BR" w:bidi="pt-BR"/>
      </w:rPr>
    </w:lvl>
    <w:lvl w:ilvl="6" w:tplc="2E946C4C">
      <w:numFmt w:val="bullet"/>
      <w:lvlText w:val="•"/>
      <w:lvlJc w:val="left"/>
      <w:pPr>
        <w:ind w:left="4418" w:hanging="303"/>
      </w:pPr>
      <w:rPr>
        <w:rFonts w:hint="default"/>
        <w:lang w:val="pt-BR" w:eastAsia="pt-BR" w:bidi="pt-BR"/>
      </w:rPr>
    </w:lvl>
    <w:lvl w:ilvl="7" w:tplc="2228D4F0">
      <w:numFmt w:val="bullet"/>
      <w:lvlText w:val="•"/>
      <w:lvlJc w:val="left"/>
      <w:pPr>
        <w:ind w:left="5138" w:hanging="303"/>
      </w:pPr>
      <w:rPr>
        <w:rFonts w:hint="default"/>
        <w:lang w:val="pt-BR" w:eastAsia="pt-BR" w:bidi="pt-BR"/>
      </w:rPr>
    </w:lvl>
    <w:lvl w:ilvl="8" w:tplc="BAC476F6">
      <w:numFmt w:val="bullet"/>
      <w:lvlText w:val="•"/>
      <w:lvlJc w:val="left"/>
      <w:pPr>
        <w:ind w:left="5858" w:hanging="303"/>
      </w:pPr>
      <w:rPr>
        <w:rFonts w:hint="default"/>
        <w:lang w:val="pt-BR" w:eastAsia="pt-BR" w:bidi="pt-BR"/>
      </w:rPr>
    </w:lvl>
  </w:abstractNum>
  <w:abstractNum w:abstractNumId="12"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2"/>
  </w:num>
  <w:num w:numId="4">
    <w:abstractNumId w:val="8"/>
  </w:num>
  <w:num w:numId="5">
    <w:abstractNumId w:val="9"/>
  </w:num>
  <w:num w:numId="6">
    <w:abstractNumId w:val="2"/>
  </w:num>
  <w:num w:numId="7">
    <w:abstractNumId w:val="7"/>
  </w:num>
  <w:num w:numId="8">
    <w:abstractNumId w:val="20"/>
  </w:num>
  <w:num w:numId="9">
    <w:abstractNumId w:val="6"/>
  </w:num>
  <w:num w:numId="10">
    <w:abstractNumId w:val="17"/>
  </w:num>
  <w:num w:numId="11">
    <w:abstractNumId w:val="23"/>
  </w:num>
  <w:num w:numId="12">
    <w:abstractNumId w:val="13"/>
  </w:num>
  <w:num w:numId="13">
    <w:abstractNumId w:val="16"/>
  </w:num>
  <w:num w:numId="14">
    <w:abstractNumId w:val="24"/>
  </w:num>
  <w:num w:numId="15">
    <w:abstractNumId w:val="3"/>
  </w:num>
  <w:num w:numId="16">
    <w:abstractNumId w:val="15"/>
  </w:num>
  <w:num w:numId="17">
    <w:abstractNumId w:val="18"/>
  </w:num>
  <w:num w:numId="18">
    <w:abstractNumId w:val="19"/>
  </w:num>
  <w:num w:numId="19">
    <w:abstractNumId w:val="21"/>
  </w:num>
  <w:num w:numId="20">
    <w:abstractNumId w:val="1"/>
  </w:num>
  <w:num w:numId="21">
    <w:abstractNumId w:val="12"/>
  </w:num>
  <w:num w:numId="22">
    <w:abstractNumId w:val="14"/>
  </w:num>
  <w:num w:numId="23">
    <w:abstractNumId w:val="25"/>
  </w:num>
  <w:num w:numId="24">
    <w:abstractNumId w:val="4"/>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3372"/>
    <w:rsid w:val="001074F4"/>
    <w:rsid w:val="00110704"/>
    <w:rsid w:val="00113BB3"/>
    <w:rsid w:val="00115289"/>
    <w:rsid w:val="0012771C"/>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0A9B"/>
    <w:rsid w:val="0021429D"/>
    <w:rsid w:val="0022015B"/>
    <w:rsid w:val="002201ED"/>
    <w:rsid w:val="00235B63"/>
    <w:rsid w:val="00240183"/>
    <w:rsid w:val="00247C7F"/>
    <w:rsid w:val="00255E26"/>
    <w:rsid w:val="00265AA6"/>
    <w:rsid w:val="00271DF1"/>
    <w:rsid w:val="00272DE8"/>
    <w:rsid w:val="00274F6A"/>
    <w:rsid w:val="00285252"/>
    <w:rsid w:val="002A1785"/>
    <w:rsid w:val="002B031B"/>
    <w:rsid w:val="002C01A4"/>
    <w:rsid w:val="002C0A21"/>
    <w:rsid w:val="002C4E64"/>
    <w:rsid w:val="002D4722"/>
    <w:rsid w:val="002E5DCE"/>
    <w:rsid w:val="002F3FFB"/>
    <w:rsid w:val="002F4284"/>
    <w:rsid w:val="002F4DA3"/>
    <w:rsid w:val="00303C59"/>
    <w:rsid w:val="00304269"/>
    <w:rsid w:val="00315B62"/>
    <w:rsid w:val="00321B5E"/>
    <w:rsid w:val="003310D1"/>
    <w:rsid w:val="00340388"/>
    <w:rsid w:val="0034116F"/>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C60B0"/>
    <w:rsid w:val="003D2C56"/>
    <w:rsid w:val="003D4650"/>
    <w:rsid w:val="003E22EA"/>
    <w:rsid w:val="003F03BE"/>
    <w:rsid w:val="003F0429"/>
    <w:rsid w:val="004011C5"/>
    <w:rsid w:val="00404640"/>
    <w:rsid w:val="004056D5"/>
    <w:rsid w:val="00405E2C"/>
    <w:rsid w:val="00411710"/>
    <w:rsid w:val="004121C0"/>
    <w:rsid w:val="00412238"/>
    <w:rsid w:val="0041338C"/>
    <w:rsid w:val="0041388D"/>
    <w:rsid w:val="00414C3C"/>
    <w:rsid w:val="004151C9"/>
    <w:rsid w:val="0042170E"/>
    <w:rsid w:val="00422E63"/>
    <w:rsid w:val="00424CDA"/>
    <w:rsid w:val="00425236"/>
    <w:rsid w:val="0042796E"/>
    <w:rsid w:val="00434CA9"/>
    <w:rsid w:val="00437A11"/>
    <w:rsid w:val="004408E5"/>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9A7"/>
    <w:rsid w:val="004F7A32"/>
    <w:rsid w:val="005004AC"/>
    <w:rsid w:val="00503054"/>
    <w:rsid w:val="005065DA"/>
    <w:rsid w:val="00516FBB"/>
    <w:rsid w:val="00524086"/>
    <w:rsid w:val="005268BE"/>
    <w:rsid w:val="0053678C"/>
    <w:rsid w:val="005406A5"/>
    <w:rsid w:val="00544262"/>
    <w:rsid w:val="005529D1"/>
    <w:rsid w:val="005571F7"/>
    <w:rsid w:val="0056620C"/>
    <w:rsid w:val="00575776"/>
    <w:rsid w:val="00582E39"/>
    <w:rsid w:val="005A3923"/>
    <w:rsid w:val="005A76E3"/>
    <w:rsid w:val="005B0DFA"/>
    <w:rsid w:val="005B5594"/>
    <w:rsid w:val="005B6862"/>
    <w:rsid w:val="005C084B"/>
    <w:rsid w:val="005C20CF"/>
    <w:rsid w:val="005C4110"/>
    <w:rsid w:val="005C5A39"/>
    <w:rsid w:val="005D0B3E"/>
    <w:rsid w:val="005D13BB"/>
    <w:rsid w:val="005D1617"/>
    <w:rsid w:val="005E5D0B"/>
    <w:rsid w:val="005E62D8"/>
    <w:rsid w:val="005E748A"/>
    <w:rsid w:val="005E7611"/>
    <w:rsid w:val="005F2128"/>
    <w:rsid w:val="005F3B14"/>
    <w:rsid w:val="0060140B"/>
    <w:rsid w:val="00604221"/>
    <w:rsid w:val="0060634D"/>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28B5"/>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A75E2"/>
    <w:rsid w:val="007B7AAA"/>
    <w:rsid w:val="007C1BEB"/>
    <w:rsid w:val="007D3D0A"/>
    <w:rsid w:val="007D60E8"/>
    <w:rsid w:val="007E3C6E"/>
    <w:rsid w:val="008022F5"/>
    <w:rsid w:val="00811756"/>
    <w:rsid w:val="0081301F"/>
    <w:rsid w:val="00821C0E"/>
    <w:rsid w:val="00823759"/>
    <w:rsid w:val="0082768A"/>
    <w:rsid w:val="00835763"/>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5848"/>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5997"/>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4515"/>
    <w:rsid w:val="00A2681D"/>
    <w:rsid w:val="00A30312"/>
    <w:rsid w:val="00A3267F"/>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B2C79"/>
    <w:rsid w:val="00BC1E6D"/>
    <w:rsid w:val="00BC4246"/>
    <w:rsid w:val="00BC6781"/>
    <w:rsid w:val="00BD091F"/>
    <w:rsid w:val="00BD1FFF"/>
    <w:rsid w:val="00BD7F2E"/>
    <w:rsid w:val="00BE3002"/>
    <w:rsid w:val="00BE6C2F"/>
    <w:rsid w:val="00BF30EB"/>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0414"/>
    <w:rsid w:val="00D41EB7"/>
    <w:rsid w:val="00D51BA2"/>
    <w:rsid w:val="00D53D88"/>
    <w:rsid w:val="00D557EC"/>
    <w:rsid w:val="00D55A68"/>
    <w:rsid w:val="00D56492"/>
    <w:rsid w:val="00D62A77"/>
    <w:rsid w:val="00D63174"/>
    <w:rsid w:val="00D7060C"/>
    <w:rsid w:val="00D7577F"/>
    <w:rsid w:val="00D86084"/>
    <w:rsid w:val="00D87EFA"/>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1B66"/>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D44410C"/>
  <w15:docId w15:val="{60FD1129-789F-4D0C-BBB2-65ABB4B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 w:type="paragraph" w:styleId="Corpodetexto">
    <w:name w:val="Body Text"/>
    <w:basedOn w:val="Normal"/>
    <w:link w:val="CorpodetextoChar"/>
    <w:uiPriority w:val="1"/>
    <w:qFormat/>
    <w:rsid w:val="00A3267F"/>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A3267F"/>
    <w:rPr>
      <w:rFonts w:ascii="Arial" w:eastAsia="Arial" w:hAnsi="Arial" w:cs="Arial"/>
      <w:sz w:val="24"/>
      <w:szCs w:val="24"/>
      <w:lang w:eastAsia="pt-BR" w:bidi="pt-BR"/>
    </w:rPr>
  </w:style>
  <w:style w:type="character" w:styleId="Hyperlink">
    <w:name w:val="Hyperlink"/>
    <w:basedOn w:val="Fontepargpadro"/>
    <w:uiPriority w:val="99"/>
    <w:unhideWhenUsed/>
    <w:rsid w:val="00210A9B"/>
    <w:rPr>
      <w:color w:val="0563C1" w:themeColor="hyperlink"/>
      <w:u w:val="single"/>
    </w:rPr>
  </w:style>
  <w:style w:type="paragraph" w:styleId="NormalWeb">
    <w:name w:val="Normal (Web)"/>
    <w:basedOn w:val="Normal"/>
    <w:uiPriority w:val="99"/>
    <w:unhideWhenUsed/>
    <w:rsid w:val="00210A9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7EB5-FC72-4AF9-98BC-BE96B058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1267</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2018-10-16T14:31:00Z</dcterms:created>
  <dcterms:modified xsi:type="dcterms:W3CDTF">2018-10-16T14:33:00Z</dcterms:modified>
</cp:coreProperties>
</file>