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A3267F" w:rsidRDefault="00487662" w:rsidP="00A3267F">
      <w:pPr>
        <w:pStyle w:val="SemEspaamento"/>
        <w:jc w:val="center"/>
        <w:rPr>
          <w:rFonts w:ascii="Arial" w:hAnsi="Arial" w:cs="Arial"/>
          <w:b/>
        </w:rPr>
      </w:pPr>
      <w:r w:rsidRPr="00A3267F">
        <w:rPr>
          <w:rFonts w:ascii="Arial" w:hAnsi="Arial" w:cs="Arial"/>
          <w:b/>
        </w:rPr>
        <w:t xml:space="preserve">COMISSÃO DE </w:t>
      </w:r>
      <w:r w:rsidR="00B16E1B" w:rsidRPr="00A3267F">
        <w:rPr>
          <w:rFonts w:ascii="Arial" w:hAnsi="Arial" w:cs="Arial"/>
          <w:b/>
        </w:rPr>
        <w:t>INFRAESTRUTURA, TURISMO, DESENVOLVIMENTO E BEM-ESTAR SOCIAL</w:t>
      </w:r>
    </w:p>
    <w:p w:rsidR="00487662" w:rsidRPr="00A3267F" w:rsidRDefault="00487662" w:rsidP="00A3267F">
      <w:pPr>
        <w:pStyle w:val="SemEspaamento"/>
        <w:rPr>
          <w:rFonts w:ascii="Arial" w:hAnsi="Arial" w:cs="Arial"/>
        </w:rPr>
      </w:pPr>
    </w:p>
    <w:p w:rsidR="001300B5" w:rsidRDefault="001300B5" w:rsidP="00A3267F">
      <w:pPr>
        <w:pStyle w:val="SemEspaamento"/>
        <w:jc w:val="both"/>
        <w:rPr>
          <w:rFonts w:ascii="Arial" w:hAnsi="Arial" w:cs="Arial"/>
        </w:rPr>
      </w:pPr>
      <w:r w:rsidRPr="00A3267F">
        <w:rPr>
          <w:rFonts w:ascii="Arial" w:hAnsi="Arial" w:cs="Arial"/>
          <w:b/>
        </w:rPr>
        <w:t>Parecer:</w:t>
      </w:r>
      <w:r w:rsidRPr="00A3267F">
        <w:rPr>
          <w:rFonts w:ascii="Arial" w:hAnsi="Arial" w:cs="Arial"/>
        </w:rPr>
        <w:t xml:space="preserve"> </w:t>
      </w:r>
      <w:r w:rsidR="002F3FFB" w:rsidRPr="00A3267F">
        <w:rPr>
          <w:rFonts w:ascii="Arial" w:hAnsi="Arial" w:cs="Arial"/>
        </w:rPr>
        <w:t>6</w:t>
      </w:r>
      <w:r w:rsidR="004F79A7">
        <w:rPr>
          <w:rFonts w:ascii="Arial" w:hAnsi="Arial" w:cs="Arial"/>
        </w:rPr>
        <w:t>8</w:t>
      </w:r>
      <w:r w:rsidRPr="00A3267F">
        <w:rPr>
          <w:rFonts w:ascii="Arial" w:hAnsi="Arial" w:cs="Arial"/>
        </w:rPr>
        <w:t>/2018</w:t>
      </w:r>
    </w:p>
    <w:p w:rsidR="004F79A7" w:rsidRPr="002D3AF5" w:rsidRDefault="004F79A7" w:rsidP="004F79A7">
      <w:pPr>
        <w:pStyle w:val="SemEspaamento"/>
        <w:spacing w:line="276" w:lineRule="auto"/>
        <w:jc w:val="both"/>
        <w:rPr>
          <w:rFonts w:ascii="Arial" w:hAnsi="Arial" w:cs="Arial"/>
        </w:rPr>
      </w:pPr>
      <w:bookmarkStart w:id="0" w:name="_Hlk515960379"/>
      <w:r w:rsidRPr="002D3AF5">
        <w:rPr>
          <w:rFonts w:ascii="Arial" w:hAnsi="Arial" w:cs="Arial"/>
          <w:b/>
        </w:rPr>
        <w:t>Data:</w:t>
      </w:r>
      <w:r w:rsidRPr="002D3AF5">
        <w:rPr>
          <w:rFonts w:ascii="Arial" w:hAnsi="Arial" w:cs="Arial"/>
        </w:rPr>
        <w:t xml:space="preserve"> 04 de outubro de 2018</w:t>
      </w:r>
    </w:p>
    <w:p w:rsidR="004F79A7" w:rsidRPr="002D3AF5" w:rsidRDefault="004F79A7" w:rsidP="004F79A7">
      <w:pPr>
        <w:pStyle w:val="SemEspaamento"/>
        <w:spacing w:line="276" w:lineRule="auto"/>
        <w:jc w:val="both"/>
        <w:rPr>
          <w:rFonts w:ascii="Arial" w:hAnsi="Arial" w:cs="Arial"/>
        </w:rPr>
      </w:pPr>
      <w:r w:rsidRPr="002D3AF5">
        <w:rPr>
          <w:rFonts w:ascii="Arial" w:hAnsi="Arial" w:cs="Arial"/>
          <w:b/>
        </w:rPr>
        <w:t>Matéria:</w:t>
      </w:r>
      <w:r w:rsidRPr="002D3AF5">
        <w:rPr>
          <w:rFonts w:ascii="Arial" w:hAnsi="Arial" w:cs="Arial"/>
        </w:rPr>
        <w:t xml:space="preserve"> Projeto de Lei nº 043/2018</w:t>
      </w:r>
    </w:p>
    <w:p w:rsidR="004F79A7" w:rsidRPr="002D3AF5" w:rsidRDefault="004F79A7" w:rsidP="004F79A7">
      <w:pPr>
        <w:pStyle w:val="SemEspaamento"/>
        <w:spacing w:line="276" w:lineRule="auto"/>
        <w:jc w:val="both"/>
        <w:rPr>
          <w:rFonts w:ascii="Arial" w:hAnsi="Arial" w:cs="Arial"/>
        </w:rPr>
      </w:pPr>
      <w:r w:rsidRPr="002D3AF5">
        <w:rPr>
          <w:rFonts w:ascii="Arial" w:hAnsi="Arial" w:cs="Arial"/>
          <w:b/>
        </w:rPr>
        <w:t>Ementa:</w:t>
      </w:r>
      <w:r w:rsidRPr="002D3AF5">
        <w:rPr>
          <w:rFonts w:ascii="Arial" w:hAnsi="Arial" w:cs="Arial"/>
        </w:rPr>
        <w:t xml:space="preserve"> Dispõe sobre As Diretrizes para Elaboração e Execução da Lei Orçamentária de 2019.</w:t>
      </w:r>
    </w:p>
    <w:p w:rsidR="004F79A7" w:rsidRPr="002D3AF5" w:rsidRDefault="004F79A7" w:rsidP="004F79A7">
      <w:pPr>
        <w:pStyle w:val="SemEspaamento"/>
        <w:spacing w:line="276" w:lineRule="auto"/>
        <w:jc w:val="both"/>
        <w:rPr>
          <w:rFonts w:ascii="Arial" w:hAnsi="Arial" w:cs="Arial"/>
          <w:bCs/>
        </w:rPr>
      </w:pPr>
      <w:r w:rsidRPr="002D3AF5">
        <w:rPr>
          <w:rFonts w:ascii="Arial" w:hAnsi="Arial" w:cs="Arial"/>
          <w:b/>
        </w:rPr>
        <w:t>Protocolo:</w:t>
      </w:r>
      <w:r w:rsidRPr="002D3AF5">
        <w:rPr>
          <w:rFonts w:ascii="Arial" w:hAnsi="Arial" w:cs="Arial"/>
        </w:rPr>
        <w:t xml:space="preserve"> 30/08/2018</w:t>
      </w:r>
    </w:p>
    <w:p w:rsidR="004F79A7" w:rsidRPr="002D3AF5" w:rsidRDefault="004F79A7" w:rsidP="004F79A7">
      <w:pPr>
        <w:pStyle w:val="SemEspaamento"/>
        <w:spacing w:line="276" w:lineRule="auto"/>
        <w:rPr>
          <w:rFonts w:ascii="Arial" w:hAnsi="Arial" w:cs="Arial"/>
        </w:rPr>
      </w:pPr>
      <w:r w:rsidRPr="002D3AF5">
        <w:rPr>
          <w:rFonts w:ascii="Arial" w:hAnsi="Arial" w:cs="Arial"/>
          <w:b/>
        </w:rPr>
        <w:t>Autor:</w:t>
      </w:r>
      <w:r w:rsidRPr="002D3AF5">
        <w:rPr>
          <w:rFonts w:ascii="Arial" w:hAnsi="Arial" w:cs="Arial"/>
        </w:rPr>
        <w:t xml:space="preserve"> Poder Executivo</w:t>
      </w:r>
    </w:p>
    <w:p w:rsidR="004F79A7" w:rsidRPr="002D3AF5" w:rsidRDefault="004F79A7" w:rsidP="004F79A7">
      <w:pPr>
        <w:pStyle w:val="SemEspaamento"/>
        <w:spacing w:line="276" w:lineRule="auto"/>
        <w:rPr>
          <w:rFonts w:ascii="Arial" w:hAnsi="Arial" w:cs="Arial"/>
        </w:rPr>
      </w:pPr>
      <w:r w:rsidRPr="002D3AF5">
        <w:rPr>
          <w:rFonts w:ascii="Arial" w:hAnsi="Arial" w:cs="Arial"/>
          <w:b/>
        </w:rPr>
        <w:t xml:space="preserve">Relator: </w:t>
      </w:r>
      <w:r w:rsidRPr="002D3AF5">
        <w:rPr>
          <w:rFonts w:ascii="Arial" w:hAnsi="Arial" w:cs="Arial"/>
        </w:rPr>
        <w:t xml:space="preserve">Vereador </w:t>
      </w:r>
    </w:p>
    <w:p w:rsidR="004F79A7" w:rsidRPr="002D3AF5" w:rsidRDefault="004F79A7" w:rsidP="004F79A7">
      <w:pPr>
        <w:pStyle w:val="SemEspaamento"/>
        <w:spacing w:line="276" w:lineRule="auto"/>
        <w:rPr>
          <w:rFonts w:ascii="Arial" w:hAnsi="Arial" w:cs="Arial"/>
        </w:rPr>
      </w:pPr>
      <w:r w:rsidRPr="002D3AF5">
        <w:rPr>
          <w:rFonts w:ascii="Arial" w:hAnsi="Arial" w:cs="Arial"/>
          <w:b/>
        </w:rPr>
        <w:t>Conclusão do Voto:</w:t>
      </w:r>
      <w:r w:rsidRPr="002D3AF5">
        <w:rPr>
          <w:rFonts w:ascii="Arial" w:hAnsi="Arial" w:cs="Arial"/>
        </w:rPr>
        <w:t xml:space="preserve"> favorável à tramitação da matéria</w:t>
      </w:r>
    </w:p>
    <w:p w:rsidR="004F79A7" w:rsidRPr="002D3AF5" w:rsidRDefault="004F79A7" w:rsidP="004F79A7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4F79A7" w:rsidRPr="002D3AF5" w:rsidRDefault="004F79A7" w:rsidP="004F79A7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2D3AF5">
        <w:rPr>
          <w:rFonts w:ascii="Arial" w:hAnsi="Arial" w:cs="Arial"/>
          <w:b/>
        </w:rPr>
        <w:t>Relatório:</w:t>
      </w:r>
    </w:p>
    <w:p w:rsidR="004F79A7" w:rsidRPr="002D3AF5" w:rsidRDefault="004F79A7" w:rsidP="004F79A7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bookmarkEnd w:id="0"/>
    <w:p w:rsidR="004F79A7" w:rsidRPr="002D3AF5" w:rsidRDefault="004F79A7" w:rsidP="004F79A7">
      <w:pPr>
        <w:spacing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t>Foi encaminhado a esta Casa, o Projeto de Lei nº 43/2018, de autoria do Executivo Municipal, protocolado em 30/08/2018, que dispõe sobre as Diretrizes para Elaboração e Execução da Lei Orçamentária de 2019. A Lei de Diretrizes Orçamentárias - LDO tem como objetivo estabelecer as diretrizes, prioridades e metas da administração, orientando a elaboração da proposta orçamentária de cada exercício financeiro, formado pelos orçamentos fiscal, de investimento das empresas e da seguridade social, compatibilizando as políticas, objetivos e metas estabelecidas no Plano Plurianual e as ações previstas nos orçamentos para a sua consecução, promovendo, em prazo compatível, um debate sobre a ligação e a adequação entre receitas e despesas públicas e as prioridades orçamentárias. Na justificativa, aduz o proponente que o projeto constitui instrumento de planejamento público com o fim de atingir os meios aos quais de destina o Estado como um todo maior. Informa, por conseguinte, que em cumprimento ao disposto do art. 48, I, da LC 101/2000 (LRF), o Poder executivo realizou audiência pública, na data de 28/08/</w:t>
      </w:r>
      <w:proofErr w:type="gramStart"/>
      <w:r w:rsidRPr="002D3AF5">
        <w:rPr>
          <w:rFonts w:ascii="Arial" w:hAnsi="Arial" w:cs="Arial"/>
        </w:rPr>
        <w:t>2019,  incentivando</w:t>
      </w:r>
      <w:proofErr w:type="gramEnd"/>
      <w:r w:rsidRPr="002D3AF5">
        <w:rPr>
          <w:rFonts w:ascii="Arial" w:hAnsi="Arial" w:cs="Arial"/>
        </w:rPr>
        <w:t xml:space="preserve"> a participação popular no processo de elaboração da LDO 2019.  </w:t>
      </w:r>
      <w:r w:rsidRPr="002D3AF5">
        <w:rPr>
          <w:rFonts w:ascii="Arial" w:hAnsi="Arial" w:cs="Arial"/>
          <w:u w:val="single"/>
        </w:rPr>
        <w:t>Acompanha ao Projeto</w:t>
      </w:r>
      <w:r w:rsidRPr="002D3AF5">
        <w:rPr>
          <w:rFonts w:ascii="Arial" w:hAnsi="Arial" w:cs="Arial"/>
        </w:rPr>
        <w:t>: - Previsão da Receita e Despesa para 2019 a 2021; - Previsão da Receita Corrente Líquida para 2019; - Anexo das metas Fiscais; - Anexo dos Riscos Fiscais; - Relatório dos projetos em andamento e posição sobre situação de conservação do patrimônio público e providencias a serem adotadas pelo Executivo; - Planejamento de despesas para o exercício a que se refere a proposta; Deixou de acompanhar as Atas dos Conselhos deliberativos do município, referente aos Programas e seus respectivos Fundos municipais, em conformidade com art. 36 da lei nº 8080/90 (Saúde), Lei nº 11494/2007, art. 24, § 9º (Educação) e Resolução nº 33/2012, art. 84 (Assistência Social). Os mesmos foram requeridos pela Comissão de Orçamento e Finanças diretamente aos Presidentes dos respectivos conselhos, e anexados ao Projeto de lei.  O PL foi protocolado nesta Casa em 30/08/2018, tempestivamente, vez que o prazo regulamentar pela Lei Orgânica é 30 de agosto, anualmente (Lei Orgânica, art. 96, II).</w:t>
      </w:r>
    </w:p>
    <w:p w:rsidR="004F79A7" w:rsidRPr="002D3AF5" w:rsidRDefault="004F79A7" w:rsidP="004F79A7">
      <w:pPr>
        <w:spacing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lastRenderedPageBreak/>
        <w:t>O projeto já foi analisado pela Procuradora Geral da Casa, a qual proferiu Orientação Jurídica nº 69/2018, favorável à tramitação</w:t>
      </w:r>
      <w:r w:rsidRPr="002D3AF5">
        <w:rPr>
          <w:rFonts w:ascii="Arial" w:hAnsi="Arial" w:cs="Arial"/>
          <w:b/>
        </w:rPr>
        <w:t xml:space="preserve"> </w:t>
      </w:r>
      <w:r w:rsidRPr="002D3AF5">
        <w:rPr>
          <w:rFonts w:ascii="Arial" w:hAnsi="Arial" w:cs="Arial"/>
        </w:rPr>
        <w:t>do PL 43/2018, vez que atende as normas legais impostas, estando presentes a legalidade e constitucionalidade.</w:t>
      </w:r>
      <w:r w:rsidRPr="002D3AF5">
        <w:rPr>
          <w:rFonts w:ascii="Arial" w:hAnsi="Arial" w:cs="Arial"/>
          <w:bCs/>
        </w:rPr>
        <w:t xml:space="preserve"> </w:t>
      </w:r>
      <w:r w:rsidRPr="002D3AF5">
        <w:rPr>
          <w:rFonts w:ascii="Arial" w:hAnsi="Arial" w:cs="Arial"/>
        </w:rPr>
        <w:t>Tal orientação jurídica embasa a elaboração do presente parecer.</w:t>
      </w:r>
    </w:p>
    <w:p w:rsidR="00437A11" w:rsidRDefault="00437A11" w:rsidP="00A3267F">
      <w:pPr>
        <w:pStyle w:val="SemEspaamento"/>
        <w:jc w:val="center"/>
        <w:rPr>
          <w:rFonts w:ascii="Arial" w:hAnsi="Arial" w:cs="Arial"/>
          <w:b/>
        </w:rPr>
      </w:pPr>
    </w:p>
    <w:p w:rsidR="000E2A67" w:rsidRPr="00A3267F" w:rsidRDefault="00487662" w:rsidP="00A3267F">
      <w:pPr>
        <w:pStyle w:val="SemEspaamento"/>
        <w:jc w:val="center"/>
        <w:rPr>
          <w:rFonts w:ascii="Arial" w:hAnsi="Arial" w:cs="Arial"/>
          <w:b/>
        </w:rPr>
      </w:pPr>
      <w:r w:rsidRPr="00A3267F">
        <w:rPr>
          <w:rFonts w:ascii="Arial" w:hAnsi="Arial" w:cs="Arial"/>
          <w:b/>
        </w:rPr>
        <w:t>Análise</w:t>
      </w:r>
      <w:r w:rsidR="000E2A67" w:rsidRPr="00A3267F">
        <w:rPr>
          <w:rFonts w:ascii="Arial" w:hAnsi="Arial" w:cs="Arial"/>
          <w:b/>
        </w:rPr>
        <w:t>:</w:t>
      </w:r>
    </w:p>
    <w:p w:rsidR="001F21E0" w:rsidRPr="00A3267F" w:rsidRDefault="001F21E0" w:rsidP="00A3267F">
      <w:pPr>
        <w:pStyle w:val="SemEspaamento"/>
        <w:jc w:val="center"/>
        <w:rPr>
          <w:rFonts w:ascii="Arial" w:hAnsi="Arial" w:cs="Arial"/>
          <w:b/>
        </w:rPr>
      </w:pPr>
    </w:p>
    <w:p w:rsidR="00FC5EEC" w:rsidRPr="00A3267F" w:rsidRDefault="000E2A67" w:rsidP="00A3267F">
      <w:pPr>
        <w:pStyle w:val="SemEspaamento"/>
        <w:jc w:val="both"/>
        <w:rPr>
          <w:rFonts w:ascii="Arial" w:hAnsi="Arial" w:cs="Arial"/>
        </w:rPr>
      </w:pPr>
      <w:r w:rsidRPr="00A3267F">
        <w:rPr>
          <w:rFonts w:ascii="Arial" w:hAnsi="Arial" w:cs="Arial"/>
          <w:b/>
        </w:rPr>
        <w:t>I –</w:t>
      </w:r>
      <w:r w:rsidRPr="00A3267F">
        <w:rPr>
          <w:rFonts w:ascii="Arial" w:hAnsi="Arial" w:cs="Arial"/>
        </w:rPr>
        <w:t xml:space="preserve"> </w:t>
      </w:r>
      <w:r w:rsidRPr="00A3267F">
        <w:rPr>
          <w:rFonts w:ascii="Arial" w:hAnsi="Arial" w:cs="Arial"/>
          <w:b/>
        </w:rPr>
        <w:t xml:space="preserve">Quanto </w:t>
      </w:r>
      <w:r w:rsidR="005406A5" w:rsidRPr="00A3267F">
        <w:rPr>
          <w:rFonts w:ascii="Arial" w:hAnsi="Arial" w:cs="Arial"/>
          <w:b/>
        </w:rPr>
        <w:t>aos fundamentos legais para análise desta Comissão</w:t>
      </w:r>
      <w:r w:rsidR="008B46F2" w:rsidRPr="00A3267F">
        <w:rPr>
          <w:rFonts w:ascii="Arial" w:hAnsi="Arial" w:cs="Arial"/>
        </w:rPr>
        <w:t>:</w:t>
      </w:r>
    </w:p>
    <w:p w:rsidR="000E2A67" w:rsidRPr="00A3267F" w:rsidRDefault="000E2A67" w:rsidP="00A3267F">
      <w:pPr>
        <w:pStyle w:val="SemEspaamento"/>
        <w:jc w:val="both"/>
        <w:rPr>
          <w:rFonts w:ascii="Arial" w:hAnsi="Arial" w:cs="Arial"/>
        </w:rPr>
      </w:pPr>
      <w:r w:rsidRPr="00A3267F">
        <w:rPr>
          <w:rFonts w:ascii="Arial" w:hAnsi="Arial" w:cs="Arial"/>
        </w:rPr>
        <w:t>Art. 5</w:t>
      </w:r>
      <w:r w:rsidR="008D19A7" w:rsidRPr="00A3267F">
        <w:rPr>
          <w:rFonts w:ascii="Arial" w:hAnsi="Arial" w:cs="Arial"/>
        </w:rPr>
        <w:t>6</w:t>
      </w:r>
      <w:r w:rsidRPr="00A3267F">
        <w:rPr>
          <w:rFonts w:ascii="Arial" w:hAnsi="Arial" w:cs="Arial"/>
        </w:rPr>
        <w:t>, I, do Regimento Interno desta Casa</w:t>
      </w:r>
      <w:r w:rsidR="008B46F2" w:rsidRPr="00A3267F">
        <w:rPr>
          <w:rFonts w:ascii="Arial" w:hAnsi="Arial" w:cs="Arial"/>
        </w:rPr>
        <w:t>;</w:t>
      </w:r>
    </w:p>
    <w:p w:rsidR="00E773FD" w:rsidRPr="00A3267F" w:rsidRDefault="00E773FD" w:rsidP="00A3267F">
      <w:pPr>
        <w:pStyle w:val="SemEspaamento"/>
        <w:jc w:val="both"/>
        <w:rPr>
          <w:rFonts w:ascii="Arial" w:hAnsi="Arial" w:cs="Arial"/>
        </w:rPr>
      </w:pPr>
    </w:p>
    <w:p w:rsidR="000E2A67" w:rsidRDefault="00B7738C" w:rsidP="00A3267F">
      <w:pPr>
        <w:pStyle w:val="SemEspaamento"/>
        <w:rPr>
          <w:rFonts w:ascii="Arial" w:hAnsi="Arial" w:cs="Arial"/>
          <w:b/>
          <w:bCs/>
          <w:color w:val="000000"/>
        </w:rPr>
      </w:pPr>
      <w:r w:rsidRPr="00A3267F">
        <w:rPr>
          <w:rFonts w:ascii="Arial" w:hAnsi="Arial" w:cs="Arial"/>
          <w:b/>
          <w:bCs/>
          <w:color w:val="000000"/>
        </w:rPr>
        <w:t>II – Quanto ao mérito:</w:t>
      </w:r>
    </w:p>
    <w:p w:rsidR="00210A9B" w:rsidRDefault="00210A9B" w:rsidP="00A3267F">
      <w:pPr>
        <w:pStyle w:val="SemEspaamento"/>
        <w:rPr>
          <w:rFonts w:ascii="Arial" w:hAnsi="Arial" w:cs="Arial"/>
          <w:b/>
          <w:bCs/>
          <w:color w:val="000000"/>
        </w:rPr>
      </w:pPr>
    </w:p>
    <w:p w:rsidR="004F79A7" w:rsidRPr="002D3AF5" w:rsidRDefault="004F79A7" w:rsidP="004F79A7">
      <w:pPr>
        <w:spacing w:after="100" w:afterAutospacing="1"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t xml:space="preserve">A Constituição Federal determina à União, Estados e Municípios,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 </w:t>
      </w:r>
    </w:p>
    <w:p w:rsidR="004F79A7" w:rsidRPr="002D3AF5" w:rsidRDefault="004F79A7" w:rsidP="004F79A7">
      <w:pPr>
        <w:spacing w:after="100" w:afterAutospacing="1"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t>A disciplina legal encontra-se, além da Constituição Federal, no Decreto Federal nº 2.829, de 29 de outubro de 1998, e na Portaria Nº 42, de 14 de abril de 1999, do Ministério do Planejamento, Orçamento e Gestão, e na Lei Orgânica Municipal. Essa normatização visa à modernização da Administração Pública, conduzindo-a a integrar planejamento e orçamento com menor burocracia e melhor gerenciamento, orientando-se para o atendimento de metas efetivamente esperados pela comunidade, com absoluta transparência.</w:t>
      </w:r>
    </w:p>
    <w:p w:rsidR="004F79A7" w:rsidRPr="002D3AF5" w:rsidRDefault="004F79A7" w:rsidP="004F79A7">
      <w:pPr>
        <w:spacing w:after="100" w:afterAutospacing="1" w:line="276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2D3AF5">
        <w:rPr>
          <w:rFonts w:ascii="Arial" w:hAnsi="Arial" w:cs="Arial"/>
        </w:rPr>
        <w:t>A Lei de Diretrizes Orçamentárias</w:t>
      </w:r>
      <w:r w:rsidRPr="002D3AF5">
        <w:rPr>
          <w:rFonts w:ascii="Arial" w:eastAsia="Times New Roman" w:hAnsi="Arial" w:cs="Arial"/>
          <w:color w:val="000000" w:themeColor="text1"/>
          <w:lang w:eastAsia="pt-BR"/>
        </w:rPr>
        <w:t xml:space="preserve"> é, </w:t>
      </w:r>
      <w:proofErr w:type="gramStart"/>
      <w:r w:rsidRPr="002D3AF5">
        <w:rPr>
          <w:rFonts w:ascii="Arial" w:eastAsia="Times New Roman" w:hAnsi="Arial" w:cs="Arial"/>
          <w:color w:val="000000" w:themeColor="text1"/>
          <w:lang w:eastAsia="pt-BR"/>
        </w:rPr>
        <w:t>portanto,  uma</w:t>
      </w:r>
      <w:proofErr w:type="gramEnd"/>
      <w:r w:rsidRPr="002D3AF5">
        <w:rPr>
          <w:rFonts w:ascii="Arial" w:eastAsia="Times New Roman" w:hAnsi="Arial" w:cs="Arial"/>
          <w:color w:val="000000" w:themeColor="text1"/>
          <w:lang w:eastAsia="pt-BR"/>
        </w:rPr>
        <w:t xml:space="preserve"> lei que orienta a elaboração do orçamento anual, estabelecendo diretrizes, objetivos e metas da administração pública, bem como um instrumento estabelecido na Constituição Federal para fazer a ligação entre o PPA e LOA, estabelecendo parâmetros necessários à alocação de recursos no orçamento anual, de forma a viabilizar o planejamento definido através de Programas, projetos e atividades constantes do PPA.</w:t>
      </w:r>
    </w:p>
    <w:p w:rsidR="004F79A7" w:rsidRPr="002D3AF5" w:rsidRDefault="004F79A7" w:rsidP="004F79A7">
      <w:pPr>
        <w:spacing w:after="100" w:afterAutospacing="1" w:line="276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2D3AF5">
        <w:rPr>
          <w:rFonts w:ascii="Arial" w:eastAsia="Times New Roman" w:hAnsi="Arial" w:cs="Arial"/>
          <w:color w:val="000000" w:themeColor="text1"/>
          <w:lang w:eastAsia="pt-BR"/>
        </w:rPr>
        <w:t>A previsão das diretrizes orçamentárias encontra-se no artigo 165, I, da CF e a sua abrangência no §2º do mesmo artigo que dispõe:</w:t>
      </w:r>
    </w:p>
    <w:p w:rsidR="004F79A7" w:rsidRPr="002D3AF5" w:rsidRDefault="004F79A7" w:rsidP="004F79A7">
      <w:pPr>
        <w:shd w:val="clear" w:color="auto" w:fill="FFFFFF"/>
        <w:spacing w:before="100" w:beforeAutospacing="1" w:after="100" w:afterAutospacing="1" w:line="240" w:lineRule="auto"/>
        <w:ind w:left="2124" w:firstLine="12"/>
        <w:jc w:val="both"/>
        <w:rPr>
          <w:rFonts w:ascii="Arial" w:eastAsia="Times New Roman" w:hAnsi="Arial" w:cs="Arial"/>
          <w:i/>
          <w:color w:val="000000"/>
          <w:lang w:eastAsia="pt-BR"/>
        </w:rPr>
      </w:pPr>
      <w:r w:rsidRPr="002D3AF5">
        <w:rPr>
          <w:rFonts w:ascii="Arial" w:eastAsia="Times New Roman" w:hAnsi="Arial" w:cs="Arial"/>
          <w:i/>
          <w:color w:val="000000"/>
          <w:lang w:eastAsia="pt-BR"/>
        </w:rPr>
        <w:t>§ 2º A lei de diretrizes orçamentárias compreenderá as metas e prioridades da administração pública federal, incluindo as despesas de capital para o exercício financeiro subsequente, orientará a elaboração da lei orçamentária anual, disporá sobre as alterações na legislação tributária e estabelecerá a política de aplicação das agências financeiras oficiais de fomento.</w:t>
      </w:r>
    </w:p>
    <w:p w:rsidR="004F79A7" w:rsidRPr="002D3AF5" w:rsidRDefault="004F79A7" w:rsidP="004F79A7">
      <w:pPr>
        <w:spacing w:before="100" w:beforeAutospacing="1" w:after="0" w:line="276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D3AF5">
        <w:rPr>
          <w:rFonts w:ascii="Arial" w:hAnsi="Arial" w:cs="Arial"/>
          <w:color w:val="000000" w:themeColor="text1"/>
          <w:shd w:val="clear" w:color="auto" w:fill="FFFFFF"/>
        </w:rPr>
        <w:lastRenderedPageBreak/>
        <w:t>O constituinte originário confiou na importância do plano plurianual e buscou a sua efetividade, determinando, por exemplo, que nenhum investimento cuja execução ultrapasse um exercício financeiro poderá ser iniciado sem prévia inclusão no plano plurianual, ou sem lei que autorize a inclusão sob pena de crime de responsabilidade, conforme redação do art. 167, § 1º, C.F, assim disposto:</w:t>
      </w:r>
    </w:p>
    <w:p w:rsidR="004F79A7" w:rsidRPr="002D3AF5" w:rsidRDefault="004F79A7" w:rsidP="004F79A7">
      <w:pPr>
        <w:shd w:val="clear" w:color="auto" w:fill="FFFFFF"/>
        <w:spacing w:after="0" w:line="276" w:lineRule="auto"/>
        <w:ind w:left="1560" w:firstLine="708"/>
        <w:jc w:val="both"/>
        <w:rPr>
          <w:rFonts w:ascii="Arial" w:eastAsia="Times New Roman" w:hAnsi="Arial" w:cs="Arial"/>
          <w:i/>
          <w:color w:val="000000"/>
          <w:lang w:eastAsia="pt-BR"/>
        </w:rPr>
      </w:pPr>
    </w:p>
    <w:p w:rsidR="004F79A7" w:rsidRPr="002D3AF5" w:rsidRDefault="004F79A7" w:rsidP="004F79A7">
      <w:pPr>
        <w:shd w:val="clear" w:color="auto" w:fill="FFFFFF"/>
        <w:spacing w:after="0" w:line="240" w:lineRule="auto"/>
        <w:ind w:left="1560" w:firstLine="708"/>
        <w:jc w:val="both"/>
        <w:rPr>
          <w:rFonts w:ascii="Arial" w:eastAsia="Times New Roman" w:hAnsi="Arial" w:cs="Arial"/>
          <w:i/>
          <w:color w:val="000000"/>
          <w:lang w:eastAsia="pt-BR"/>
        </w:rPr>
      </w:pPr>
      <w:r w:rsidRPr="002D3AF5">
        <w:rPr>
          <w:rFonts w:ascii="Arial" w:eastAsia="Times New Roman" w:hAnsi="Arial" w:cs="Arial"/>
          <w:i/>
          <w:color w:val="000000"/>
          <w:lang w:eastAsia="pt-BR"/>
        </w:rPr>
        <w:t>Art. 167. São vedados:</w:t>
      </w:r>
    </w:p>
    <w:p w:rsidR="004F79A7" w:rsidRPr="002D3AF5" w:rsidRDefault="004F79A7" w:rsidP="004F79A7">
      <w:pPr>
        <w:shd w:val="clear" w:color="auto" w:fill="FFFFFF"/>
        <w:spacing w:after="0" w:line="240" w:lineRule="auto"/>
        <w:ind w:left="1560" w:firstLine="708"/>
        <w:jc w:val="both"/>
        <w:rPr>
          <w:rFonts w:ascii="Arial" w:eastAsia="Times New Roman" w:hAnsi="Arial" w:cs="Arial"/>
          <w:i/>
          <w:color w:val="000000"/>
          <w:lang w:eastAsia="pt-BR"/>
        </w:rPr>
      </w:pPr>
      <w:bookmarkStart w:id="1" w:name="art167i"/>
      <w:bookmarkEnd w:id="1"/>
      <w:r w:rsidRPr="002D3AF5">
        <w:rPr>
          <w:rFonts w:ascii="Arial" w:eastAsia="Times New Roman" w:hAnsi="Arial" w:cs="Arial"/>
          <w:i/>
          <w:color w:val="000000"/>
          <w:lang w:eastAsia="pt-BR"/>
        </w:rPr>
        <w:t xml:space="preserve">I - </w:t>
      </w:r>
      <w:proofErr w:type="gramStart"/>
      <w:r w:rsidRPr="002D3AF5">
        <w:rPr>
          <w:rFonts w:ascii="Arial" w:eastAsia="Times New Roman" w:hAnsi="Arial" w:cs="Arial"/>
          <w:i/>
          <w:color w:val="000000"/>
          <w:lang w:eastAsia="pt-BR"/>
        </w:rPr>
        <w:t>o</w:t>
      </w:r>
      <w:proofErr w:type="gramEnd"/>
      <w:r w:rsidRPr="002D3AF5">
        <w:rPr>
          <w:rFonts w:ascii="Arial" w:eastAsia="Times New Roman" w:hAnsi="Arial" w:cs="Arial"/>
          <w:i/>
          <w:color w:val="000000"/>
          <w:lang w:eastAsia="pt-BR"/>
        </w:rPr>
        <w:t xml:space="preserve"> início de programas ou projetos não incluídos na lei orçamentária anual;</w:t>
      </w:r>
    </w:p>
    <w:p w:rsidR="004F79A7" w:rsidRPr="002D3AF5" w:rsidRDefault="004F79A7" w:rsidP="004F79A7">
      <w:pPr>
        <w:spacing w:after="0" w:line="240" w:lineRule="auto"/>
        <w:ind w:firstLine="2268"/>
        <w:jc w:val="both"/>
        <w:rPr>
          <w:rFonts w:ascii="Arial" w:hAnsi="Arial" w:cs="Arial"/>
          <w:i/>
          <w:color w:val="000000" w:themeColor="text1"/>
          <w:shd w:val="clear" w:color="auto" w:fill="FFFFFF"/>
        </w:rPr>
      </w:pPr>
      <w:r w:rsidRPr="002D3AF5">
        <w:rPr>
          <w:rFonts w:ascii="Arial" w:hAnsi="Arial" w:cs="Arial"/>
          <w:i/>
          <w:color w:val="000000" w:themeColor="text1"/>
          <w:shd w:val="clear" w:color="auto" w:fill="FFFFFF"/>
        </w:rPr>
        <w:t>...</w:t>
      </w:r>
    </w:p>
    <w:p w:rsidR="004F79A7" w:rsidRPr="002D3AF5" w:rsidRDefault="004F79A7" w:rsidP="004F79A7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hd w:val="clear" w:color="auto" w:fill="FFFFFF"/>
        </w:rPr>
      </w:pPr>
      <w:r w:rsidRPr="002D3AF5">
        <w:rPr>
          <w:rFonts w:ascii="Arial" w:hAnsi="Arial" w:cs="Arial"/>
          <w:i/>
          <w:color w:val="000000"/>
          <w:shd w:val="clear" w:color="auto" w:fill="FFFFFF"/>
        </w:rPr>
        <w:t>§ 1º Nenhum investimento cuja execução ultrapasse um exercício financeiro poderá ser iniciado sem prévia inclusão no plano plurianual, ou sem lei que autorize a inclusão, sob pena de crime de responsabilidade.</w:t>
      </w:r>
    </w:p>
    <w:p w:rsidR="004F79A7" w:rsidRPr="002D3AF5" w:rsidRDefault="004F79A7" w:rsidP="004F79A7">
      <w:pPr>
        <w:spacing w:after="0" w:line="276" w:lineRule="auto"/>
        <w:ind w:left="2268"/>
        <w:jc w:val="both"/>
        <w:rPr>
          <w:rFonts w:ascii="Arial" w:hAnsi="Arial" w:cs="Arial"/>
          <w:i/>
          <w:color w:val="000000" w:themeColor="text1"/>
          <w:shd w:val="clear" w:color="auto" w:fill="FFFFFF"/>
        </w:rPr>
      </w:pPr>
    </w:p>
    <w:p w:rsidR="004F79A7" w:rsidRPr="002D3AF5" w:rsidRDefault="004F79A7" w:rsidP="004F79A7">
      <w:pPr>
        <w:spacing w:after="0" w:line="276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2D3AF5">
        <w:rPr>
          <w:rFonts w:ascii="Arial" w:hAnsi="Arial" w:cs="Arial"/>
          <w:color w:val="000000" w:themeColor="text1"/>
          <w:shd w:val="clear" w:color="auto" w:fill="FFFFFF"/>
        </w:rPr>
        <w:t xml:space="preserve">Neste contexto surge a lei de Responsabilidade Fiscal (LRF), que </w:t>
      </w:r>
      <w:r w:rsidRPr="002D3AF5">
        <w:rPr>
          <w:rFonts w:ascii="Arial" w:eastAsia="Times New Roman" w:hAnsi="Arial" w:cs="Arial"/>
          <w:color w:val="000000" w:themeColor="text1"/>
          <w:lang w:eastAsia="pt-BR"/>
        </w:rPr>
        <w:t>passa a ser o código de conduta para os administradores públicos de todo o país. Com estas novas regras, os governantes, sejam eles da União, dos Estados, do Distrito Federal e dos Municípios terão que obedecer, sob pena de severas sanções, aos princípios do equilíbrio das contas públicas, de gestão orçamentária e financeira responsável, eficiente e eficaz, sobretudo, transparente. A LRF assim dispõe:</w:t>
      </w:r>
    </w:p>
    <w:p w:rsidR="004F79A7" w:rsidRPr="002D3AF5" w:rsidRDefault="004F79A7" w:rsidP="004F79A7">
      <w:pPr>
        <w:spacing w:after="0" w:line="276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color w:val="000000"/>
          <w:sz w:val="22"/>
          <w:szCs w:val="22"/>
        </w:rPr>
        <w:t>  </w:t>
      </w:r>
      <w:bookmarkStart w:id="2" w:name="art4"/>
      <w:bookmarkEnd w:id="2"/>
      <w:r w:rsidRPr="002D3AF5">
        <w:rPr>
          <w:rFonts w:ascii="Arial" w:hAnsi="Arial" w:cs="Arial"/>
          <w:i/>
          <w:color w:val="000000"/>
          <w:sz w:val="22"/>
          <w:szCs w:val="22"/>
        </w:rPr>
        <w:t>Art. 4</w:t>
      </w:r>
      <w:r w:rsidRPr="002D3AF5">
        <w:rPr>
          <w:rFonts w:ascii="Arial" w:hAnsi="Arial" w:cs="Arial"/>
          <w:i/>
          <w:color w:val="000000"/>
          <w:sz w:val="22"/>
          <w:szCs w:val="22"/>
          <w:u w:val="single"/>
          <w:vertAlign w:val="superscript"/>
        </w:rPr>
        <w:t>o</w:t>
      </w:r>
      <w:r w:rsidRPr="002D3AF5">
        <w:rPr>
          <w:rFonts w:ascii="Arial" w:hAnsi="Arial" w:cs="Arial"/>
          <w:b/>
          <w:bCs/>
          <w:i/>
          <w:color w:val="000000"/>
          <w:sz w:val="22"/>
          <w:szCs w:val="22"/>
        </w:rPr>
        <w:t> </w:t>
      </w:r>
      <w:r w:rsidRPr="002D3AF5">
        <w:rPr>
          <w:rFonts w:ascii="Arial" w:hAnsi="Arial" w:cs="Arial"/>
          <w:i/>
          <w:color w:val="000000"/>
          <w:sz w:val="22"/>
          <w:szCs w:val="22"/>
        </w:rPr>
        <w:t>A lei de diretrizes orçamentárias atenderá o disposto no </w:t>
      </w:r>
      <w:hyperlink r:id="rId8" w:anchor="art165§2" w:history="1">
        <w:r w:rsidRPr="002D3AF5">
          <w:rPr>
            <w:rStyle w:val="Hyperlink"/>
            <w:rFonts w:ascii="Arial" w:hAnsi="Arial" w:cs="Arial"/>
            <w:i/>
            <w:sz w:val="22"/>
            <w:szCs w:val="22"/>
          </w:rPr>
          <w:t>§ 2</w:t>
        </w:r>
        <w:r w:rsidRPr="002D3AF5">
          <w:rPr>
            <w:rStyle w:val="Hyperlink"/>
            <w:rFonts w:ascii="Arial" w:hAnsi="Arial" w:cs="Arial"/>
            <w:i/>
            <w:sz w:val="22"/>
            <w:szCs w:val="22"/>
            <w:vertAlign w:val="superscript"/>
          </w:rPr>
          <w:t>o</w:t>
        </w:r>
        <w:r w:rsidRPr="002D3AF5">
          <w:rPr>
            <w:rStyle w:val="Hyperlink"/>
            <w:rFonts w:ascii="Arial" w:hAnsi="Arial" w:cs="Arial"/>
            <w:i/>
            <w:sz w:val="22"/>
            <w:szCs w:val="22"/>
          </w:rPr>
          <w:t> do art. 165 da Constituição</w:t>
        </w:r>
      </w:hyperlink>
      <w:r w:rsidRPr="002D3AF5">
        <w:rPr>
          <w:rFonts w:ascii="Arial" w:hAnsi="Arial" w:cs="Arial"/>
          <w:i/>
          <w:color w:val="000000"/>
          <w:sz w:val="22"/>
          <w:szCs w:val="22"/>
        </w:rPr>
        <w:t> e: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3" w:name="art4i"/>
      <w:bookmarkEnd w:id="3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I - </w:t>
      </w:r>
      <w:proofErr w:type="gramStart"/>
      <w:r w:rsidRPr="002D3AF5">
        <w:rPr>
          <w:rFonts w:ascii="Arial" w:hAnsi="Arial" w:cs="Arial"/>
          <w:i/>
          <w:color w:val="000000"/>
          <w:sz w:val="22"/>
          <w:szCs w:val="22"/>
        </w:rPr>
        <w:t>disporá</w:t>
      </w:r>
      <w:proofErr w:type="gramEnd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 também sobre: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4" w:name="art4ia"/>
      <w:bookmarkEnd w:id="4"/>
      <w:r w:rsidRPr="002D3AF5">
        <w:rPr>
          <w:rFonts w:ascii="Arial" w:hAnsi="Arial" w:cs="Arial"/>
          <w:i/>
          <w:color w:val="000000"/>
          <w:sz w:val="22"/>
          <w:szCs w:val="22"/>
        </w:rPr>
        <w:t>a) equilíbrio entre receitas e despesas;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5" w:name="art4ib"/>
      <w:bookmarkEnd w:id="5"/>
      <w:r w:rsidRPr="002D3AF5">
        <w:rPr>
          <w:rFonts w:ascii="Arial" w:hAnsi="Arial" w:cs="Arial"/>
          <w:i/>
          <w:color w:val="000000"/>
          <w:sz w:val="22"/>
          <w:szCs w:val="22"/>
        </w:rPr>
        <w:t>b) critérios e forma de limitação de empenho, a ser efetivada nas hipóteses previstas na alínea </w:t>
      </w:r>
      <w:r w:rsidRPr="002D3AF5">
        <w:rPr>
          <w:rFonts w:ascii="Arial" w:hAnsi="Arial" w:cs="Arial"/>
          <w:i/>
          <w:iCs/>
          <w:color w:val="000000"/>
          <w:sz w:val="22"/>
          <w:szCs w:val="22"/>
        </w:rPr>
        <w:t>b</w:t>
      </w:r>
      <w:r w:rsidRPr="002D3AF5">
        <w:rPr>
          <w:rFonts w:ascii="Arial" w:hAnsi="Arial" w:cs="Arial"/>
          <w:i/>
          <w:color w:val="000000"/>
          <w:sz w:val="22"/>
          <w:szCs w:val="22"/>
        </w:rPr>
        <w:t> do inciso II deste artigo, no art. 9</w:t>
      </w:r>
      <w:r w:rsidRPr="002D3AF5">
        <w:rPr>
          <w:rFonts w:ascii="Arial" w:hAnsi="Arial" w:cs="Arial"/>
          <w:i/>
          <w:color w:val="000000"/>
          <w:sz w:val="22"/>
          <w:szCs w:val="22"/>
          <w:u w:val="single"/>
          <w:vertAlign w:val="superscript"/>
        </w:rPr>
        <w:t>o</w:t>
      </w:r>
      <w:r w:rsidRPr="002D3AF5">
        <w:rPr>
          <w:rFonts w:ascii="Arial" w:hAnsi="Arial" w:cs="Arial"/>
          <w:i/>
          <w:color w:val="000000"/>
          <w:sz w:val="22"/>
          <w:szCs w:val="22"/>
        </w:rPr>
        <w:t> e no inciso II do § 1</w:t>
      </w:r>
      <w:r w:rsidRPr="002D3AF5">
        <w:rPr>
          <w:rFonts w:ascii="Arial" w:hAnsi="Arial" w:cs="Arial"/>
          <w:i/>
          <w:color w:val="000000"/>
          <w:sz w:val="22"/>
          <w:szCs w:val="22"/>
          <w:u w:val="single"/>
          <w:vertAlign w:val="superscript"/>
        </w:rPr>
        <w:t>o</w:t>
      </w:r>
      <w:r w:rsidRPr="002D3AF5">
        <w:rPr>
          <w:rFonts w:ascii="Arial" w:hAnsi="Arial" w:cs="Arial"/>
          <w:i/>
          <w:color w:val="000000"/>
          <w:sz w:val="22"/>
          <w:szCs w:val="22"/>
        </w:rPr>
        <w:t> do art. 31;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6" w:name="art4ic"/>
      <w:bookmarkEnd w:id="6"/>
      <w:proofErr w:type="gramStart"/>
      <w:r w:rsidRPr="002D3AF5">
        <w:rPr>
          <w:rFonts w:ascii="Arial" w:hAnsi="Arial" w:cs="Arial"/>
          <w:i/>
          <w:color w:val="000000"/>
          <w:sz w:val="22"/>
          <w:szCs w:val="22"/>
        </w:rPr>
        <w:t>c)  (</w:t>
      </w:r>
      <w:proofErr w:type="gramEnd"/>
      <w:r w:rsidRPr="002D3AF5">
        <w:rPr>
          <w:rFonts w:ascii="Arial" w:hAnsi="Arial" w:cs="Arial"/>
          <w:i/>
          <w:color w:val="000000"/>
          <w:sz w:val="22"/>
          <w:szCs w:val="22"/>
        </w:rPr>
        <w:t>VETADO)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7" w:name="art4id"/>
      <w:bookmarkEnd w:id="7"/>
      <w:proofErr w:type="gramStart"/>
      <w:r w:rsidRPr="002D3AF5">
        <w:rPr>
          <w:rFonts w:ascii="Arial" w:hAnsi="Arial" w:cs="Arial"/>
          <w:i/>
          <w:color w:val="000000"/>
          <w:sz w:val="22"/>
          <w:szCs w:val="22"/>
        </w:rPr>
        <w:t>d)  (</w:t>
      </w:r>
      <w:proofErr w:type="gramEnd"/>
      <w:r w:rsidRPr="002D3AF5">
        <w:rPr>
          <w:rFonts w:ascii="Arial" w:hAnsi="Arial" w:cs="Arial"/>
          <w:i/>
          <w:color w:val="000000"/>
          <w:sz w:val="22"/>
          <w:szCs w:val="22"/>
        </w:rPr>
        <w:t>VETADO)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8" w:name="art4ie"/>
      <w:bookmarkEnd w:id="8"/>
      <w:r w:rsidRPr="002D3AF5">
        <w:rPr>
          <w:rFonts w:ascii="Arial" w:hAnsi="Arial" w:cs="Arial"/>
          <w:i/>
          <w:color w:val="000000"/>
          <w:sz w:val="22"/>
          <w:szCs w:val="22"/>
        </w:rPr>
        <w:t>e) normas relativas ao controle de custos e à avaliação dos resultados dos programas financiados com recursos dos orçamentos;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9" w:name="art4if"/>
      <w:bookmarkEnd w:id="9"/>
      <w:r w:rsidRPr="002D3AF5">
        <w:rPr>
          <w:rFonts w:ascii="Arial" w:hAnsi="Arial" w:cs="Arial"/>
          <w:i/>
          <w:color w:val="000000"/>
          <w:sz w:val="22"/>
          <w:szCs w:val="22"/>
        </w:rPr>
        <w:t>f) demais condições e exigências para transferências de recursos a entidades públicas e privadas;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10" w:name="art4ii"/>
      <w:bookmarkEnd w:id="10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II </w:t>
      </w:r>
      <w:proofErr w:type="gramStart"/>
      <w:r w:rsidRPr="002D3AF5">
        <w:rPr>
          <w:rFonts w:ascii="Arial" w:hAnsi="Arial" w:cs="Arial"/>
          <w:i/>
          <w:color w:val="000000"/>
          <w:sz w:val="22"/>
          <w:szCs w:val="22"/>
        </w:rPr>
        <w:t>-  (</w:t>
      </w:r>
      <w:proofErr w:type="gramEnd"/>
      <w:r w:rsidRPr="002D3AF5">
        <w:rPr>
          <w:rFonts w:ascii="Arial" w:hAnsi="Arial" w:cs="Arial"/>
          <w:i/>
          <w:color w:val="000000"/>
          <w:sz w:val="22"/>
          <w:szCs w:val="22"/>
        </w:rPr>
        <w:t>VETADO)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11" w:name="art4iii"/>
      <w:bookmarkEnd w:id="11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III </w:t>
      </w:r>
      <w:proofErr w:type="gramStart"/>
      <w:r w:rsidRPr="002D3AF5">
        <w:rPr>
          <w:rFonts w:ascii="Arial" w:hAnsi="Arial" w:cs="Arial"/>
          <w:i/>
          <w:color w:val="000000"/>
          <w:sz w:val="22"/>
          <w:szCs w:val="22"/>
        </w:rPr>
        <w:t>-  (</w:t>
      </w:r>
      <w:proofErr w:type="gramEnd"/>
      <w:r w:rsidRPr="002D3AF5">
        <w:rPr>
          <w:rFonts w:ascii="Arial" w:hAnsi="Arial" w:cs="Arial"/>
          <w:i/>
          <w:color w:val="000000"/>
          <w:sz w:val="22"/>
          <w:szCs w:val="22"/>
        </w:rPr>
        <w:t>VETADO)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12" w:name="art4§1"/>
      <w:bookmarkEnd w:id="12"/>
      <w:r w:rsidRPr="002D3AF5">
        <w:rPr>
          <w:rFonts w:ascii="Arial" w:hAnsi="Arial" w:cs="Arial"/>
          <w:i/>
          <w:color w:val="000000"/>
          <w:sz w:val="22"/>
          <w:szCs w:val="22"/>
        </w:rPr>
        <w:t>§ 1</w:t>
      </w:r>
      <w:r w:rsidRPr="002D3AF5">
        <w:rPr>
          <w:rFonts w:ascii="Arial" w:hAnsi="Arial" w:cs="Arial"/>
          <w:i/>
          <w:color w:val="000000"/>
          <w:sz w:val="22"/>
          <w:szCs w:val="22"/>
          <w:u w:val="single"/>
          <w:vertAlign w:val="superscript"/>
        </w:rPr>
        <w:t>o</w:t>
      </w:r>
      <w:r w:rsidRPr="002D3AF5">
        <w:rPr>
          <w:rFonts w:ascii="Arial" w:hAnsi="Arial" w:cs="Arial"/>
          <w:i/>
          <w:color w:val="000000"/>
          <w:sz w:val="22"/>
          <w:szCs w:val="22"/>
        </w:rPr>
        <w:t> Integrará o projeto de lei de diretrizes orçamentárias Anexo de Metas Fiscais, em que serão estabelecidas metas anuais, em valores correntes e constantes, relativas a receitas, despesas, resultados nominal e primário e montante da dívida pública, para o exercício a que se referirem e para os dois seguintes.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13" w:name="art4§2"/>
      <w:bookmarkEnd w:id="13"/>
      <w:r w:rsidRPr="002D3AF5">
        <w:rPr>
          <w:rFonts w:ascii="Arial" w:hAnsi="Arial" w:cs="Arial"/>
          <w:i/>
          <w:color w:val="000000"/>
          <w:sz w:val="22"/>
          <w:szCs w:val="22"/>
        </w:rPr>
        <w:t>§ 2</w:t>
      </w:r>
      <w:r w:rsidRPr="002D3AF5">
        <w:rPr>
          <w:rFonts w:ascii="Arial" w:hAnsi="Arial" w:cs="Arial"/>
          <w:i/>
          <w:color w:val="000000"/>
          <w:sz w:val="22"/>
          <w:szCs w:val="22"/>
          <w:u w:val="single"/>
          <w:vertAlign w:val="superscript"/>
        </w:rPr>
        <w:t>o</w:t>
      </w:r>
      <w:r w:rsidRPr="002D3AF5">
        <w:rPr>
          <w:rFonts w:ascii="Arial" w:hAnsi="Arial" w:cs="Arial"/>
          <w:i/>
          <w:color w:val="000000"/>
          <w:sz w:val="22"/>
          <w:szCs w:val="22"/>
        </w:rPr>
        <w:t> O Anexo conterá, ainda: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14" w:name="art4§2i"/>
      <w:bookmarkEnd w:id="14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I - </w:t>
      </w:r>
      <w:proofErr w:type="gramStart"/>
      <w:r w:rsidRPr="002D3AF5">
        <w:rPr>
          <w:rFonts w:ascii="Arial" w:hAnsi="Arial" w:cs="Arial"/>
          <w:i/>
          <w:color w:val="000000"/>
          <w:sz w:val="22"/>
          <w:szCs w:val="22"/>
        </w:rPr>
        <w:t>avaliação</w:t>
      </w:r>
      <w:proofErr w:type="gramEnd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 do cumprimento das metas relativas ao ano anterior;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lastRenderedPageBreak/>
        <w:t>       </w:t>
      </w:r>
      <w:bookmarkStart w:id="15" w:name="art4§2ii"/>
      <w:bookmarkEnd w:id="15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II - </w:t>
      </w:r>
      <w:proofErr w:type="gramStart"/>
      <w:r w:rsidRPr="002D3AF5">
        <w:rPr>
          <w:rFonts w:ascii="Arial" w:hAnsi="Arial" w:cs="Arial"/>
          <w:i/>
          <w:color w:val="000000"/>
          <w:sz w:val="22"/>
          <w:szCs w:val="22"/>
        </w:rPr>
        <w:t>demonstrativo</w:t>
      </w:r>
      <w:proofErr w:type="gramEnd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 das metas anuais, instruído com memória e metodologia de cálculo que justifiquem os resultados pretendidos, comparando-as com as fixadas nos três exercícios anteriores, e evidenciando a consistência delas com as premissas e os objetivos da política econômica nacional;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16" w:name="art4§2iii"/>
      <w:bookmarkEnd w:id="16"/>
      <w:r w:rsidRPr="002D3AF5">
        <w:rPr>
          <w:rFonts w:ascii="Arial" w:hAnsi="Arial" w:cs="Arial"/>
          <w:i/>
          <w:color w:val="000000"/>
          <w:sz w:val="22"/>
          <w:szCs w:val="22"/>
        </w:rPr>
        <w:t>III - evolução do patrimônio líquido, também nos últimos três exercícios, destacando a origem e a aplicação dos recursos obtidos com a alienação de ativos;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17" w:name="art4iv"/>
      <w:bookmarkEnd w:id="17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IV - </w:t>
      </w:r>
      <w:proofErr w:type="gramStart"/>
      <w:r w:rsidRPr="002D3AF5">
        <w:rPr>
          <w:rFonts w:ascii="Arial" w:hAnsi="Arial" w:cs="Arial"/>
          <w:i/>
          <w:color w:val="000000"/>
          <w:sz w:val="22"/>
          <w:szCs w:val="22"/>
        </w:rPr>
        <w:t>avaliação</w:t>
      </w:r>
      <w:proofErr w:type="gramEnd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 da situação financeira e atuarial: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18" w:name="art4iva"/>
      <w:bookmarkEnd w:id="18"/>
      <w:r w:rsidRPr="002D3AF5">
        <w:rPr>
          <w:rFonts w:ascii="Arial" w:hAnsi="Arial" w:cs="Arial"/>
          <w:i/>
          <w:color w:val="000000"/>
          <w:sz w:val="22"/>
          <w:szCs w:val="22"/>
        </w:rPr>
        <w:t>a) dos regimes geral de previdência social e próprio dos servidores públicos e do Fundo de Amparo ao Trabalhador;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19" w:name="art4ivb"/>
      <w:bookmarkEnd w:id="19"/>
      <w:r w:rsidRPr="002D3AF5">
        <w:rPr>
          <w:rFonts w:ascii="Arial" w:hAnsi="Arial" w:cs="Arial"/>
          <w:i/>
          <w:color w:val="000000"/>
          <w:sz w:val="22"/>
          <w:szCs w:val="22"/>
        </w:rPr>
        <w:t>b) dos demais fundos públicos e programas estatais de natureza atuarial;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20" w:name="art4§2v"/>
      <w:bookmarkEnd w:id="20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V - </w:t>
      </w:r>
      <w:proofErr w:type="gramStart"/>
      <w:r w:rsidRPr="002D3AF5">
        <w:rPr>
          <w:rFonts w:ascii="Arial" w:hAnsi="Arial" w:cs="Arial"/>
          <w:i/>
          <w:color w:val="000000"/>
          <w:sz w:val="22"/>
          <w:szCs w:val="22"/>
        </w:rPr>
        <w:t>demonstrativo</w:t>
      </w:r>
      <w:proofErr w:type="gramEnd"/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 da estimativa e compensação da renúncia de receita e da margem de expansão das despesas obrigatórias de caráter continuado.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21" w:name="art4§3"/>
      <w:bookmarkEnd w:id="21"/>
      <w:r w:rsidRPr="002D3AF5">
        <w:rPr>
          <w:rFonts w:ascii="Arial" w:hAnsi="Arial" w:cs="Arial"/>
          <w:i/>
          <w:color w:val="000000"/>
          <w:sz w:val="22"/>
          <w:szCs w:val="22"/>
        </w:rPr>
        <w:t>§ 3</w:t>
      </w:r>
      <w:r w:rsidRPr="002D3AF5">
        <w:rPr>
          <w:rFonts w:ascii="Arial" w:hAnsi="Arial" w:cs="Arial"/>
          <w:i/>
          <w:color w:val="000000"/>
          <w:sz w:val="22"/>
          <w:szCs w:val="22"/>
          <w:u w:val="single"/>
          <w:vertAlign w:val="superscript"/>
        </w:rPr>
        <w:t>o</w:t>
      </w:r>
      <w:r w:rsidRPr="002D3AF5">
        <w:rPr>
          <w:rFonts w:ascii="Arial" w:hAnsi="Arial" w:cs="Arial"/>
          <w:i/>
          <w:color w:val="000000"/>
          <w:sz w:val="22"/>
          <w:szCs w:val="22"/>
        </w:rPr>
        <w:t> A lei de diretrizes orçamentárias conterá Anexo de Riscos Fiscais, onde serão avaliados os passivos contingentes e outros riscos capazes de afetar as contas públicas, informando as providências a serem tomadas, caso se concretizem.</w:t>
      </w:r>
    </w:p>
    <w:p w:rsidR="004F79A7" w:rsidRPr="002D3AF5" w:rsidRDefault="004F79A7" w:rsidP="004F79A7">
      <w:pPr>
        <w:pStyle w:val="NormalWeb"/>
        <w:spacing w:before="0" w:beforeAutospacing="0" w:after="0" w:afterAutospacing="0"/>
        <w:ind w:left="198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D3AF5">
        <w:rPr>
          <w:rFonts w:ascii="Arial" w:hAnsi="Arial" w:cs="Arial"/>
          <w:i/>
          <w:color w:val="000000"/>
          <w:sz w:val="22"/>
          <w:szCs w:val="22"/>
        </w:rPr>
        <w:t>        </w:t>
      </w:r>
      <w:bookmarkStart w:id="22" w:name="art4§4"/>
      <w:bookmarkEnd w:id="22"/>
      <w:r w:rsidRPr="002D3AF5">
        <w:rPr>
          <w:rFonts w:ascii="Arial" w:hAnsi="Arial" w:cs="Arial"/>
          <w:i/>
          <w:color w:val="000000"/>
          <w:sz w:val="22"/>
          <w:szCs w:val="22"/>
        </w:rPr>
        <w:t>§ 4</w:t>
      </w:r>
      <w:r w:rsidRPr="002D3AF5">
        <w:rPr>
          <w:rFonts w:ascii="Arial" w:hAnsi="Arial" w:cs="Arial"/>
          <w:i/>
          <w:color w:val="000000"/>
          <w:sz w:val="22"/>
          <w:szCs w:val="22"/>
          <w:u w:val="single"/>
          <w:vertAlign w:val="superscript"/>
        </w:rPr>
        <w:t>o</w:t>
      </w:r>
      <w:r w:rsidRPr="002D3AF5">
        <w:rPr>
          <w:rFonts w:ascii="Arial" w:hAnsi="Arial" w:cs="Arial"/>
          <w:i/>
          <w:color w:val="000000"/>
          <w:sz w:val="22"/>
          <w:szCs w:val="22"/>
        </w:rPr>
        <w:t xml:space="preserve"> A mensagem que encaminhar o projeto da União apresentará, em anexo específico, os objetivos das políticas monetária, creditícia e cambial, bem como os parâmetros e as projeções para seus principais agregados e variáveis, e ainda as metas de inflação, para o exercício </w:t>
      </w:r>
      <w:proofErr w:type="spellStart"/>
      <w:r w:rsidRPr="002D3AF5">
        <w:rPr>
          <w:rFonts w:ascii="Arial" w:hAnsi="Arial" w:cs="Arial"/>
          <w:i/>
          <w:color w:val="000000"/>
          <w:sz w:val="22"/>
          <w:szCs w:val="22"/>
        </w:rPr>
        <w:t>subseqüente</w:t>
      </w:r>
      <w:proofErr w:type="spellEnd"/>
      <w:r w:rsidRPr="002D3AF5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4F79A7" w:rsidRPr="002D3AF5" w:rsidRDefault="004F79A7" w:rsidP="004F79A7">
      <w:pPr>
        <w:spacing w:after="0" w:line="276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F79A7" w:rsidRPr="002D3AF5" w:rsidRDefault="004F79A7" w:rsidP="004F79A7">
      <w:pPr>
        <w:spacing w:before="100" w:beforeAutospacing="1" w:after="0" w:line="276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D3AF5">
        <w:rPr>
          <w:rFonts w:ascii="Arial" w:hAnsi="Arial" w:cs="Arial"/>
          <w:color w:val="000000" w:themeColor="text1"/>
          <w:shd w:val="clear" w:color="auto" w:fill="FFFFFF"/>
        </w:rPr>
        <w:t xml:space="preserve">Na Constituição Estadual, a exigência da LDO está prevista no art. 149, </w:t>
      </w:r>
      <w:proofErr w:type="spellStart"/>
      <w:r w:rsidRPr="002D3AF5">
        <w:rPr>
          <w:rFonts w:ascii="Arial" w:hAnsi="Arial" w:cs="Arial"/>
          <w:i/>
          <w:color w:val="000000" w:themeColor="text1"/>
          <w:shd w:val="clear" w:color="auto" w:fill="FFFFFF"/>
        </w:rPr>
        <w:t>ex</w:t>
      </w:r>
      <w:proofErr w:type="spellEnd"/>
      <w:r w:rsidRPr="002D3AF5">
        <w:rPr>
          <w:rFonts w:ascii="Arial" w:hAnsi="Arial" w:cs="Arial"/>
          <w:i/>
          <w:color w:val="000000" w:themeColor="text1"/>
          <w:shd w:val="clear" w:color="auto" w:fill="FFFFFF"/>
        </w:rPr>
        <w:t xml:space="preserve"> positis</w:t>
      </w:r>
      <w:r w:rsidRPr="002D3AF5">
        <w:rPr>
          <w:rFonts w:ascii="Arial" w:hAnsi="Arial" w:cs="Arial"/>
          <w:color w:val="000000" w:themeColor="text1"/>
          <w:shd w:val="clear" w:color="auto" w:fill="FFFFFF"/>
        </w:rPr>
        <w:t>:</w:t>
      </w:r>
    </w:p>
    <w:p w:rsidR="004F79A7" w:rsidRPr="002D3AF5" w:rsidRDefault="004F79A7" w:rsidP="004F79A7">
      <w:pPr>
        <w:spacing w:after="0" w:line="240" w:lineRule="auto"/>
        <w:ind w:left="2268"/>
        <w:jc w:val="both"/>
        <w:rPr>
          <w:rFonts w:ascii="Arial" w:hAnsi="Arial" w:cs="Arial"/>
          <w:i/>
        </w:rPr>
      </w:pPr>
      <w:r w:rsidRPr="002D3AF5">
        <w:rPr>
          <w:rFonts w:ascii="Arial" w:hAnsi="Arial" w:cs="Arial"/>
          <w:i/>
        </w:rPr>
        <w:t>“Art. 149. A receita e a despesa públicas obedecerão às seguintes leis, de iniciativa do Poder Executivo: (Vide Lei Complementar n.º 10.336/94)</w:t>
      </w:r>
    </w:p>
    <w:p w:rsidR="004F79A7" w:rsidRPr="002D3AF5" w:rsidRDefault="004F79A7" w:rsidP="004F79A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2D3AF5">
        <w:rPr>
          <w:rFonts w:ascii="Arial" w:hAnsi="Arial" w:cs="Arial"/>
          <w:i/>
        </w:rPr>
        <w:t xml:space="preserve"> I - </w:t>
      </w:r>
      <w:proofErr w:type="gramStart"/>
      <w:r w:rsidRPr="002D3AF5">
        <w:rPr>
          <w:rFonts w:ascii="Arial" w:hAnsi="Arial" w:cs="Arial"/>
          <w:i/>
        </w:rPr>
        <w:t>do</w:t>
      </w:r>
      <w:proofErr w:type="gramEnd"/>
      <w:r w:rsidRPr="002D3AF5">
        <w:rPr>
          <w:rFonts w:ascii="Arial" w:hAnsi="Arial" w:cs="Arial"/>
          <w:i/>
        </w:rPr>
        <w:t xml:space="preserve"> plano plurianual;</w:t>
      </w:r>
    </w:p>
    <w:p w:rsidR="004F79A7" w:rsidRPr="002D3AF5" w:rsidRDefault="004F79A7" w:rsidP="004F79A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2D3AF5">
        <w:rPr>
          <w:rFonts w:ascii="Arial" w:hAnsi="Arial" w:cs="Arial"/>
          <w:i/>
        </w:rPr>
        <w:t xml:space="preserve"> </w:t>
      </w:r>
      <w:r w:rsidRPr="002D3AF5">
        <w:rPr>
          <w:rFonts w:ascii="Arial" w:hAnsi="Arial" w:cs="Arial"/>
          <w:b/>
          <w:i/>
        </w:rPr>
        <w:t xml:space="preserve">II - </w:t>
      </w:r>
      <w:proofErr w:type="gramStart"/>
      <w:r w:rsidRPr="002D3AF5">
        <w:rPr>
          <w:rFonts w:ascii="Arial" w:hAnsi="Arial" w:cs="Arial"/>
          <w:b/>
          <w:i/>
        </w:rPr>
        <w:t>de</w:t>
      </w:r>
      <w:proofErr w:type="gramEnd"/>
      <w:r w:rsidRPr="002D3AF5">
        <w:rPr>
          <w:rFonts w:ascii="Arial" w:hAnsi="Arial" w:cs="Arial"/>
          <w:b/>
          <w:i/>
        </w:rPr>
        <w:t xml:space="preserve"> diretrizes orçamentárias</w:t>
      </w:r>
      <w:r w:rsidRPr="002D3AF5">
        <w:rPr>
          <w:rFonts w:ascii="Arial" w:hAnsi="Arial" w:cs="Arial"/>
          <w:i/>
        </w:rPr>
        <w:t>;</w:t>
      </w:r>
    </w:p>
    <w:p w:rsidR="004F79A7" w:rsidRPr="002D3AF5" w:rsidRDefault="004F79A7" w:rsidP="004F79A7">
      <w:pPr>
        <w:spacing w:after="0" w:line="240" w:lineRule="auto"/>
        <w:ind w:firstLine="2268"/>
        <w:jc w:val="both"/>
        <w:rPr>
          <w:rFonts w:ascii="Arial" w:hAnsi="Arial" w:cs="Arial"/>
          <w:i/>
        </w:rPr>
      </w:pPr>
      <w:r w:rsidRPr="002D3AF5">
        <w:rPr>
          <w:rFonts w:ascii="Arial" w:hAnsi="Arial" w:cs="Arial"/>
          <w:i/>
        </w:rPr>
        <w:t xml:space="preserve"> III - dos orçamentos anuais.</w:t>
      </w:r>
    </w:p>
    <w:p w:rsidR="004F79A7" w:rsidRPr="002D3AF5" w:rsidRDefault="004F79A7" w:rsidP="004F79A7">
      <w:pPr>
        <w:spacing w:after="0" w:line="240" w:lineRule="auto"/>
        <w:ind w:left="2268"/>
        <w:jc w:val="both"/>
        <w:rPr>
          <w:rFonts w:ascii="Arial" w:hAnsi="Arial" w:cs="Arial"/>
          <w:i/>
        </w:rPr>
      </w:pPr>
      <w:r w:rsidRPr="002D3AF5">
        <w:rPr>
          <w:rFonts w:ascii="Arial" w:hAnsi="Arial" w:cs="Arial"/>
          <w:i/>
        </w:rPr>
        <w:t xml:space="preserve"> § 1.º A lei que aprovar o plano plurianual estabelecerá, de forma regionalizada, as diretrizes, objetivos e metas, quantificados física e financeiramente, dos programas da administração direta e indireta, de suas fundações, das empresas públicas e das empresas em que o Estado detenha, direta ou indiretamente, a maioria do capital social com direito a voto. </w:t>
      </w:r>
    </w:p>
    <w:p w:rsidR="004F79A7" w:rsidRPr="002D3AF5" w:rsidRDefault="004F79A7" w:rsidP="004F79A7">
      <w:pPr>
        <w:spacing w:after="0" w:line="240" w:lineRule="auto"/>
        <w:ind w:left="2268"/>
        <w:jc w:val="both"/>
        <w:rPr>
          <w:rFonts w:ascii="Arial" w:hAnsi="Arial" w:cs="Arial"/>
          <w:i/>
        </w:rPr>
      </w:pPr>
      <w:r w:rsidRPr="002D3AF5">
        <w:rPr>
          <w:rFonts w:ascii="Arial" w:hAnsi="Arial" w:cs="Arial"/>
          <w:i/>
        </w:rPr>
        <w:t>§ 2.º O plano plurianual será elaborado em consonância com o plano global de desenvolvimento econômico e social do Estado, podendo ser revisto quando necessário.”</w:t>
      </w:r>
    </w:p>
    <w:p w:rsidR="004F79A7" w:rsidRPr="002D3AF5" w:rsidRDefault="004F79A7" w:rsidP="004F79A7">
      <w:pPr>
        <w:spacing w:after="0" w:line="276" w:lineRule="auto"/>
        <w:ind w:left="2268"/>
        <w:jc w:val="both"/>
        <w:rPr>
          <w:rFonts w:ascii="Arial" w:hAnsi="Arial" w:cs="Arial"/>
          <w:i/>
        </w:rPr>
      </w:pPr>
    </w:p>
    <w:p w:rsidR="004F79A7" w:rsidRPr="002D3AF5" w:rsidRDefault="004F79A7" w:rsidP="004F79A7">
      <w:pPr>
        <w:spacing w:before="100" w:beforeAutospacing="1" w:after="0"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t xml:space="preserve">Entretanto, salienta-se que a LDO deve apresentar Anexos, que atendam </w:t>
      </w:r>
      <w:proofErr w:type="spellStart"/>
      <w:r w:rsidRPr="002D3AF5">
        <w:rPr>
          <w:rFonts w:ascii="Arial" w:hAnsi="Arial" w:cs="Arial"/>
        </w:rPr>
        <w:t>os</w:t>
      </w:r>
      <w:proofErr w:type="spellEnd"/>
      <w:r w:rsidRPr="002D3AF5">
        <w:rPr>
          <w:rFonts w:ascii="Arial" w:hAnsi="Arial" w:cs="Arial"/>
        </w:rPr>
        <w:t xml:space="preserve"> requisitos básicos e estruturais exigidos na norma legal, em conformidade </w:t>
      </w:r>
      <w:r w:rsidRPr="002D3AF5">
        <w:rPr>
          <w:rFonts w:ascii="Arial" w:hAnsi="Arial" w:cs="Arial"/>
        </w:rPr>
        <w:lastRenderedPageBreak/>
        <w:t>com o que preceitua o art. 4º, da LRF, e em cumprimento ao disposto no art. 165, § 2º, da Constituição Federal, o que se evidencia neste PL, vez que dentro das normas legais vigentes.</w:t>
      </w:r>
    </w:p>
    <w:p w:rsidR="004F79A7" w:rsidRPr="002D3AF5" w:rsidRDefault="004F79A7" w:rsidP="004F79A7">
      <w:pPr>
        <w:spacing w:before="100" w:beforeAutospacing="1" w:after="0"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t xml:space="preserve">Entretanto, observa-se que o layout do Anexo de Programa de Governo constante deste PL, não </w:t>
      </w:r>
      <w:proofErr w:type="gramStart"/>
      <w:r w:rsidRPr="002D3AF5">
        <w:rPr>
          <w:rFonts w:ascii="Arial" w:hAnsi="Arial" w:cs="Arial"/>
        </w:rPr>
        <w:t>obedeceu rigorosamente aquele</w:t>
      </w:r>
      <w:proofErr w:type="gramEnd"/>
      <w:r w:rsidRPr="002D3AF5">
        <w:rPr>
          <w:rFonts w:ascii="Arial" w:hAnsi="Arial" w:cs="Arial"/>
        </w:rPr>
        <w:t xml:space="preserve"> utilizado na Lei Municipal nº 3.570/2017 (PPA 2018-2021). Entretanto, mesmo em outro formato, as informações inerentes aos programas de governo condizem com as informações apresentadas na Lei do PPA (2018-2021).</w:t>
      </w:r>
    </w:p>
    <w:p w:rsidR="004F79A7" w:rsidRPr="002D3AF5" w:rsidRDefault="004F79A7" w:rsidP="004F79A7">
      <w:pPr>
        <w:spacing w:before="100" w:beforeAutospacing="1" w:after="0"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t xml:space="preserve">Também </w:t>
      </w:r>
      <w:proofErr w:type="gramStart"/>
      <w:r w:rsidRPr="002D3AF5">
        <w:rPr>
          <w:rFonts w:ascii="Arial" w:hAnsi="Arial" w:cs="Arial"/>
        </w:rPr>
        <w:t>denota-se</w:t>
      </w:r>
      <w:proofErr w:type="gramEnd"/>
      <w:r w:rsidRPr="002D3AF5">
        <w:rPr>
          <w:rFonts w:ascii="Arial" w:hAnsi="Arial" w:cs="Arial"/>
        </w:rPr>
        <w:t xml:space="preserve"> a ausência das Atas dos Conselhos deliberativos, referente aos Programas dos seus respectivos Fundos Municipais, em conformidade com art. 36 da lei nº 8.080/90 (saúde); lei 11.494/2007, art. 24, § 9º (Educação) e Resolução 33/2012, art. 84 (Assistência Social), as quais foram requeridas pela Comissão de Orçamento e Finanças diretamente aos Presidentes dos respectivos Conselhos, e anexadas neste PL.</w:t>
      </w:r>
    </w:p>
    <w:p w:rsidR="004F79A7" w:rsidRPr="002D3AF5" w:rsidRDefault="004F79A7" w:rsidP="004F79A7">
      <w:pPr>
        <w:spacing w:before="100" w:beforeAutospacing="1" w:after="0"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t>Por fim, em atendimento a Lei 10.257/2001, art. 44 e Lei Complementar nº 101/2000, art. 48, registra-se que a audiência pública obrigatória no Poder Legislativo foi realizada dia 27/09/2017, às 15 horas, no Plenário do Legislativo, atendendo as normas legais vigentes, e registrou manifestações de Entidades, Conselhos, e comunidade, conforme a Ata que segue anexa no PL. Foi registrada pela maior parte dos participantes, a preocupação com o índice previsto na despesa com pessoal, que está estimado em mais de 51% para 2019, dando alerta dos limites constitucionais, que não podem ultrapassar a 54% da Receita corrente líquida. Por isso, medidas para avaliar a gestão administrativa municipal foram discutidas, visto que o aumento dos custos fixos reflete diretamente na capacidade de investimentos, deixando o município engessado e sem capacidade para crescer, melhorar e até para fazer manutenção do patrimônio existente. Registrado pedidos para que município avalie melhor a distribuição do orçamento, na confecção da LOA/2019, que será enviada a esta Casa legislativa até final de outubro, observando o atendimento das condições mínimas para manutenção dos programas de Governo, especialmente os voltados à educação, saúde e assistência social. Também foi referido o pedido da Câmara para que o orçamento do legislativo em 2019 contemple os 6 milhões de reais, visto que é desejo dos vereadores crescer um pouco mais os valores das emendas impositivas, que podem chegar até 1,2% da RCL, ou seja, pela projeção da LDO deve alcançar o montante de R$ 238 milhões. Assim, as emendas legislativas poderiam alcançar R$ 2.856.000,00, mas está sendo solicitado apenas 1 milhão a mais do que o já disponibilizado, a fim de se alcançar R$ 1.800.000,00 destinado as emendas impositivas para 2019.</w:t>
      </w:r>
    </w:p>
    <w:p w:rsidR="004F79A7" w:rsidRPr="002D3AF5" w:rsidRDefault="004F79A7" w:rsidP="004F79A7">
      <w:pPr>
        <w:spacing w:before="100" w:beforeAutospacing="1" w:after="0"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t xml:space="preserve"> Alerta-se, </w:t>
      </w:r>
      <w:proofErr w:type="gramStart"/>
      <w:r w:rsidRPr="002D3AF5">
        <w:rPr>
          <w:rFonts w:ascii="Arial" w:hAnsi="Arial" w:cs="Arial"/>
        </w:rPr>
        <w:t>ainda,  que</w:t>
      </w:r>
      <w:proofErr w:type="gramEnd"/>
      <w:r w:rsidRPr="002D3AF5">
        <w:rPr>
          <w:rFonts w:ascii="Arial" w:hAnsi="Arial" w:cs="Arial"/>
        </w:rPr>
        <w:t xml:space="preserve"> o prazo para sanção da LDO, previsto na lei Orgânica do Município (art. 97, II), é 15 de outubro de cada ano, razão pela qual o </w:t>
      </w:r>
      <w:r w:rsidRPr="002D3AF5">
        <w:rPr>
          <w:rFonts w:ascii="Arial" w:hAnsi="Arial" w:cs="Arial"/>
        </w:rPr>
        <w:lastRenderedPageBreak/>
        <w:t xml:space="preserve">referido PL deverá ser levado à Plenário na próxima sessão ordinária do dia 08/10/2018 para votação. </w:t>
      </w:r>
    </w:p>
    <w:p w:rsidR="004F79A7" w:rsidRPr="002D3AF5" w:rsidRDefault="004F79A7" w:rsidP="004F79A7">
      <w:pPr>
        <w:spacing w:before="100" w:beforeAutospacing="1" w:after="0" w:line="276" w:lineRule="auto"/>
        <w:ind w:firstLine="2268"/>
        <w:jc w:val="both"/>
        <w:rPr>
          <w:rFonts w:ascii="Arial" w:hAnsi="Arial" w:cs="Arial"/>
        </w:rPr>
      </w:pPr>
      <w:r w:rsidRPr="002D3AF5">
        <w:rPr>
          <w:rFonts w:ascii="Arial" w:hAnsi="Arial" w:cs="Arial"/>
        </w:rPr>
        <w:t>Importante referir que depois que entrar na ordem do dia, a Constituição não admite rejeição do projeto de lei de diretrizes orçamentárias, porque declara expressamente que a sessão legislativa não será interrompida sem a aprovação do projeto de lei de diretrizes orçamentárias (Art. 57, § 2º, CF).</w:t>
      </w:r>
    </w:p>
    <w:p w:rsidR="00D7060C" w:rsidRPr="00512189" w:rsidRDefault="00D7060C" w:rsidP="00D7060C">
      <w:pPr>
        <w:spacing w:after="0" w:line="240" w:lineRule="auto"/>
        <w:ind w:firstLine="2268"/>
        <w:jc w:val="both"/>
        <w:rPr>
          <w:rFonts w:ascii="Arial" w:hAnsi="Arial" w:cs="Arial"/>
          <w:sz w:val="24"/>
        </w:rPr>
      </w:pPr>
      <w:r w:rsidRPr="00512189">
        <w:rPr>
          <w:rFonts w:ascii="Arial" w:hAnsi="Arial" w:cs="Arial"/>
          <w:sz w:val="24"/>
        </w:rPr>
        <w:t xml:space="preserve"> </w:t>
      </w:r>
    </w:p>
    <w:p w:rsidR="00210A9B" w:rsidRPr="00A3267F" w:rsidRDefault="00210A9B" w:rsidP="00A3267F">
      <w:pPr>
        <w:pStyle w:val="SemEspaamento"/>
        <w:rPr>
          <w:rFonts w:ascii="Arial" w:hAnsi="Arial" w:cs="Arial"/>
          <w:b/>
          <w:bCs/>
          <w:color w:val="000000"/>
        </w:rPr>
      </w:pPr>
    </w:p>
    <w:p w:rsidR="00E91B66" w:rsidRDefault="00E91B66" w:rsidP="00A3267F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</w:p>
    <w:p w:rsidR="00A33CA8" w:rsidRPr="00A3267F" w:rsidRDefault="00A33CA8" w:rsidP="00A3267F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A3267F">
        <w:rPr>
          <w:rFonts w:ascii="Arial" w:eastAsia="Calibri" w:hAnsi="Arial" w:cs="Arial"/>
          <w:b/>
        </w:rPr>
        <w:t>Conclusão do Voto:</w:t>
      </w:r>
    </w:p>
    <w:p w:rsidR="005C5A39" w:rsidRDefault="00A33CA8" w:rsidP="00A3267F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A3267F">
        <w:rPr>
          <w:rFonts w:ascii="Arial" w:eastAsia="Calibri" w:hAnsi="Arial" w:cs="Arial"/>
        </w:rPr>
        <w:tab/>
      </w:r>
      <w:r w:rsidR="005C5A39" w:rsidRPr="00A3267F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</w:t>
      </w:r>
      <w:r w:rsidR="002F3FFB" w:rsidRPr="00A3267F">
        <w:rPr>
          <w:rFonts w:ascii="Arial" w:eastAsia="Calibri" w:hAnsi="Arial" w:cs="Arial"/>
        </w:rPr>
        <w:t>ente voto concluindo que o PL 0</w:t>
      </w:r>
      <w:r w:rsidR="00437A11">
        <w:rPr>
          <w:rFonts w:ascii="Arial" w:eastAsia="Calibri" w:hAnsi="Arial" w:cs="Arial"/>
        </w:rPr>
        <w:t>4</w:t>
      </w:r>
      <w:r w:rsidR="004F79A7">
        <w:rPr>
          <w:rFonts w:ascii="Arial" w:eastAsia="Calibri" w:hAnsi="Arial" w:cs="Arial"/>
        </w:rPr>
        <w:t>3</w:t>
      </w:r>
      <w:r w:rsidR="005C5A39" w:rsidRPr="00A3267F">
        <w:rPr>
          <w:rFonts w:ascii="Arial" w:eastAsia="Calibri" w:hAnsi="Arial" w:cs="Arial"/>
        </w:rPr>
        <w:t xml:space="preserve">/2018 </w:t>
      </w:r>
      <w:r w:rsidR="00FF40F3" w:rsidRPr="00A3267F">
        <w:rPr>
          <w:rFonts w:ascii="Arial" w:eastAsia="Calibri" w:hAnsi="Arial" w:cs="Arial"/>
        </w:rPr>
        <w:t>é viável à tramitação.</w:t>
      </w:r>
    </w:p>
    <w:p w:rsidR="00A33CA8" w:rsidRPr="00A3267F" w:rsidRDefault="00A33CA8" w:rsidP="00A3267F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A3267F">
        <w:rPr>
          <w:rFonts w:ascii="Arial" w:eastAsia="Calibri" w:hAnsi="Arial" w:cs="Arial"/>
        </w:rPr>
        <w:t xml:space="preserve">Sala das Comissões, em </w:t>
      </w:r>
      <w:r w:rsidR="004F79A7">
        <w:rPr>
          <w:rFonts w:ascii="Arial" w:eastAsia="Calibri" w:hAnsi="Arial" w:cs="Arial"/>
        </w:rPr>
        <w:t>0</w:t>
      </w:r>
      <w:r w:rsidR="00D40414">
        <w:rPr>
          <w:rFonts w:ascii="Arial" w:eastAsia="Calibri" w:hAnsi="Arial" w:cs="Arial"/>
        </w:rPr>
        <w:t>4</w:t>
      </w:r>
      <w:r w:rsidRPr="00A3267F">
        <w:rPr>
          <w:rFonts w:ascii="Arial" w:eastAsia="Calibri" w:hAnsi="Arial" w:cs="Arial"/>
        </w:rPr>
        <w:t xml:space="preserve"> d</w:t>
      </w:r>
      <w:r w:rsidR="00F44B3F" w:rsidRPr="00A3267F">
        <w:rPr>
          <w:rFonts w:ascii="Arial" w:eastAsia="Calibri" w:hAnsi="Arial" w:cs="Arial"/>
        </w:rPr>
        <w:t xml:space="preserve">e </w:t>
      </w:r>
      <w:r w:rsidR="004F79A7">
        <w:rPr>
          <w:rFonts w:ascii="Arial" w:eastAsia="Calibri" w:hAnsi="Arial" w:cs="Arial"/>
        </w:rPr>
        <w:t>outu</w:t>
      </w:r>
      <w:r w:rsidR="00A3267F" w:rsidRPr="00A3267F">
        <w:rPr>
          <w:rFonts w:ascii="Arial" w:eastAsia="Calibri" w:hAnsi="Arial" w:cs="Arial"/>
        </w:rPr>
        <w:t>bro</w:t>
      </w:r>
      <w:r w:rsidRPr="00A3267F">
        <w:rPr>
          <w:rFonts w:ascii="Arial" w:eastAsia="Calibri" w:hAnsi="Arial" w:cs="Arial"/>
        </w:rPr>
        <w:t xml:space="preserve"> de 2018.</w:t>
      </w:r>
    </w:p>
    <w:p w:rsidR="00CD21ED" w:rsidRDefault="00CD21ED" w:rsidP="00A3267F">
      <w:pPr>
        <w:pStyle w:val="SemEspaamento"/>
        <w:ind w:firstLine="1701"/>
        <w:jc w:val="both"/>
        <w:rPr>
          <w:rFonts w:ascii="Arial" w:hAnsi="Arial" w:cs="Arial"/>
        </w:rPr>
      </w:pPr>
    </w:p>
    <w:p w:rsidR="00210A9B" w:rsidRDefault="00210A9B" w:rsidP="00210A9B">
      <w:pPr>
        <w:pStyle w:val="SemEspaamento"/>
        <w:jc w:val="center"/>
        <w:rPr>
          <w:rFonts w:ascii="Arial" w:hAnsi="Arial" w:cs="Arial"/>
        </w:rPr>
      </w:pPr>
    </w:p>
    <w:p w:rsidR="00210A9B" w:rsidRPr="00A3267F" w:rsidRDefault="00210A9B" w:rsidP="00210A9B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Ver. Professor Daniel</w:t>
      </w:r>
    </w:p>
    <w:p w:rsidR="00210A9B" w:rsidRPr="00A3267F" w:rsidRDefault="00210A9B" w:rsidP="00210A9B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Membro</w:t>
      </w:r>
    </w:p>
    <w:p w:rsidR="00A73030" w:rsidRPr="00A3267F" w:rsidRDefault="00C1302F" w:rsidP="00A3267F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Relator</w:t>
      </w:r>
    </w:p>
    <w:p w:rsidR="00487662" w:rsidRPr="00A3267F" w:rsidRDefault="00487662" w:rsidP="00A3267F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Acompanhando o voto d</w:t>
      </w:r>
      <w:r w:rsidR="00762785" w:rsidRPr="00A3267F">
        <w:rPr>
          <w:rFonts w:ascii="Arial" w:hAnsi="Arial" w:cs="Arial"/>
        </w:rPr>
        <w:t>o</w:t>
      </w:r>
      <w:r w:rsidRPr="00A3267F">
        <w:rPr>
          <w:rFonts w:ascii="Arial" w:hAnsi="Arial" w:cs="Arial"/>
        </w:rPr>
        <w:t xml:space="preserve"> relator:</w:t>
      </w:r>
    </w:p>
    <w:p w:rsidR="00210A9B" w:rsidRDefault="00210A9B" w:rsidP="00210A9B">
      <w:pPr>
        <w:pStyle w:val="SemEspaamento"/>
        <w:jc w:val="center"/>
        <w:rPr>
          <w:rFonts w:ascii="Arial" w:hAnsi="Arial" w:cs="Arial"/>
        </w:rPr>
      </w:pPr>
    </w:p>
    <w:p w:rsidR="00210A9B" w:rsidRDefault="00210A9B" w:rsidP="00210A9B">
      <w:pPr>
        <w:pStyle w:val="SemEspaamento"/>
        <w:jc w:val="center"/>
        <w:rPr>
          <w:rFonts w:ascii="Arial" w:hAnsi="Arial" w:cs="Arial"/>
        </w:rPr>
      </w:pPr>
    </w:p>
    <w:p w:rsidR="00210A9B" w:rsidRPr="00A3267F" w:rsidRDefault="00210A9B" w:rsidP="00210A9B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Ver. Ubiratã Oliveira</w:t>
      </w:r>
    </w:p>
    <w:p w:rsidR="00210A9B" w:rsidRPr="00A3267F" w:rsidRDefault="00210A9B" w:rsidP="00210A9B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 xml:space="preserve">Presidente  </w:t>
      </w:r>
    </w:p>
    <w:p w:rsidR="00847BC8" w:rsidRPr="00A3267F" w:rsidRDefault="00847BC8" w:rsidP="00A3267F">
      <w:pPr>
        <w:pStyle w:val="SemEspaamento"/>
        <w:jc w:val="center"/>
        <w:rPr>
          <w:rFonts w:ascii="Arial" w:hAnsi="Arial" w:cs="Arial"/>
        </w:rPr>
      </w:pPr>
    </w:p>
    <w:p w:rsidR="00A3267F" w:rsidRPr="00A3267F" w:rsidRDefault="00A3267F" w:rsidP="00A3267F">
      <w:pPr>
        <w:pStyle w:val="SemEspaamento"/>
        <w:jc w:val="center"/>
        <w:rPr>
          <w:rFonts w:ascii="Arial" w:hAnsi="Arial" w:cs="Arial"/>
        </w:rPr>
      </w:pPr>
    </w:p>
    <w:p w:rsidR="00B7738C" w:rsidRPr="00A3267F" w:rsidRDefault="000913E4" w:rsidP="00A3267F">
      <w:pPr>
        <w:pStyle w:val="SemEspaamento"/>
        <w:ind w:left="2832" w:firstLine="287"/>
        <w:rPr>
          <w:rFonts w:ascii="Arial" w:hAnsi="Arial" w:cs="Arial"/>
        </w:rPr>
      </w:pPr>
      <w:r w:rsidRPr="00A3267F">
        <w:rPr>
          <w:rFonts w:ascii="Arial" w:hAnsi="Arial" w:cs="Arial"/>
        </w:rPr>
        <w:t xml:space="preserve">Ver. </w:t>
      </w:r>
      <w:r w:rsidR="00D40414">
        <w:rPr>
          <w:rFonts w:ascii="Arial" w:hAnsi="Arial" w:cs="Arial"/>
        </w:rPr>
        <w:t>Volnei da Saúde</w:t>
      </w:r>
      <w:bookmarkStart w:id="23" w:name="_GoBack"/>
      <w:bookmarkEnd w:id="23"/>
    </w:p>
    <w:p w:rsidR="00A3267F" w:rsidRDefault="00A3267F" w:rsidP="00A3267F">
      <w:pPr>
        <w:pStyle w:val="SemEspaamento"/>
        <w:jc w:val="center"/>
        <w:rPr>
          <w:rFonts w:ascii="Arial" w:hAnsi="Arial" w:cs="Arial"/>
        </w:rPr>
      </w:pPr>
      <w:proofErr w:type="gramStart"/>
      <w:r w:rsidRPr="00A3267F">
        <w:rPr>
          <w:rFonts w:ascii="Arial" w:hAnsi="Arial" w:cs="Arial"/>
        </w:rPr>
        <w:t>Vice- Presidente</w:t>
      </w:r>
      <w:proofErr w:type="gramEnd"/>
    </w:p>
    <w:p w:rsidR="00437A11" w:rsidRDefault="00437A11" w:rsidP="00A3267F">
      <w:pPr>
        <w:pStyle w:val="SemEspaamento"/>
        <w:jc w:val="center"/>
        <w:rPr>
          <w:rFonts w:ascii="Arial" w:hAnsi="Arial" w:cs="Arial"/>
        </w:rPr>
      </w:pPr>
    </w:p>
    <w:p w:rsidR="00437A11" w:rsidRPr="00A3267F" w:rsidRDefault="00437A11" w:rsidP="00A3267F">
      <w:pPr>
        <w:pStyle w:val="SemEspaamento"/>
        <w:jc w:val="center"/>
        <w:rPr>
          <w:rFonts w:ascii="Arial" w:hAnsi="Arial" w:cs="Arial"/>
        </w:rPr>
      </w:pPr>
    </w:p>
    <w:p w:rsidR="001300B5" w:rsidRPr="00A3267F" w:rsidRDefault="001300B5" w:rsidP="00A3267F">
      <w:pPr>
        <w:pStyle w:val="SemEspaamento"/>
        <w:jc w:val="center"/>
        <w:rPr>
          <w:rFonts w:ascii="Arial" w:hAnsi="Arial" w:cs="Arial"/>
        </w:rPr>
      </w:pPr>
    </w:p>
    <w:p w:rsidR="00F80C88" w:rsidRPr="00A3267F" w:rsidRDefault="00F80C88" w:rsidP="00A3267F">
      <w:pPr>
        <w:pStyle w:val="SemEspaamento"/>
        <w:jc w:val="center"/>
        <w:rPr>
          <w:rFonts w:ascii="Arial" w:hAnsi="Arial" w:cs="Arial"/>
        </w:rPr>
      </w:pPr>
    </w:p>
    <w:p w:rsidR="00CD21ED" w:rsidRPr="00A3267F" w:rsidRDefault="00CD21ED" w:rsidP="00A3267F">
      <w:pPr>
        <w:pStyle w:val="SemEspaamento"/>
        <w:jc w:val="center"/>
        <w:rPr>
          <w:rFonts w:ascii="Arial" w:hAnsi="Arial" w:cs="Arial"/>
        </w:rPr>
      </w:pPr>
    </w:p>
    <w:sectPr w:rsidR="00CD21ED" w:rsidRPr="00A3267F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5"/>
  </w:num>
  <w:num w:numId="24">
    <w:abstractNumId w:val="4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3372"/>
    <w:rsid w:val="001074F4"/>
    <w:rsid w:val="00110704"/>
    <w:rsid w:val="00113BB3"/>
    <w:rsid w:val="00115289"/>
    <w:rsid w:val="0012771C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0A9B"/>
    <w:rsid w:val="0021429D"/>
    <w:rsid w:val="0022015B"/>
    <w:rsid w:val="002201ED"/>
    <w:rsid w:val="00235B63"/>
    <w:rsid w:val="00240183"/>
    <w:rsid w:val="00247C7F"/>
    <w:rsid w:val="00265AA6"/>
    <w:rsid w:val="00271DF1"/>
    <w:rsid w:val="00272DE8"/>
    <w:rsid w:val="00285252"/>
    <w:rsid w:val="002A1785"/>
    <w:rsid w:val="002B031B"/>
    <w:rsid w:val="002C01A4"/>
    <w:rsid w:val="002C0A21"/>
    <w:rsid w:val="002C4E64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8E5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29D1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35763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3267F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21214"/>
    <w:rsid w:val="00D242B5"/>
    <w:rsid w:val="00D33E26"/>
    <w:rsid w:val="00D40414"/>
    <w:rsid w:val="00D41EB7"/>
    <w:rsid w:val="00D53D88"/>
    <w:rsid w:val="00D557EC"/>
    <w:rsid w:val="00D55A68"/>
    <w:rsid w:val="00D56492"/>
    <w:rsid w:val="00D62A77"/>
    <w:rsid w:val="00D63174"/>
    <w:rsid w:val="00D7060C"/>
    <w:rsid w:val="00D7577F"/>
    <w:rsid w:val="00D87EFA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B912B55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8A9F-14CC-43F0-81B4-DA2E1313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2114</Words>
  <Characters>11419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5</cp:revision>
  <cp:lastPrinted>2018-01-11T19:42:00Z</cp:lastPrinted>
  <dcterms:created xsi:type="dcterms:W3CDTF">2018-09-25T18:59:00Z</dcterms:created>
  <dcterms:modified xsi:type="dcterms:W3CDTF">2018-10-03T14:48:00Z</dcterms:modified>
</cp:coreProperties>
</file>