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3267F" w:rsidRDefault="00487662" w:rsidP="00A3267F">
      <w:pPr>
        <w:pStyle w:val="SemEspaamento"/>
        <w:jc w:val="center"/>
        <w:rPr>
          <w:rFonts w:ascii="Arial" w:hAnsi="Arial" w:cs="Arial"/>
          <w:b/>
        </w:rPr>
      </w:pPr>
      <w:r w:rsidRPr="00A3267F">
        <w:rPr>
          <w:rFonts w:ascii="Arial" w:hAnsi="Arial" w:cs="Arial"/>
          <w:b/>
        </w:rPr>
        <w:t xml:space="preserve">COMISSÃO DE </w:t>
      </w:r>
      <w:r w:rsidR="00B16E1B" w:rsidRPr="00A3267F">
        <w:rPr>
          <w:rFonts w:ascii="Arial" w:hAnsi="Arial" w:cs="Arial"/>
          <w:b/>
        </w:rPr>
        <w:t>INFRAESTRUTURA, TURISMO, DESENVOLVIMENTO E BEM-ESTAR SOCIAL</w:t>
      </w:r>
    </w:p>
    <w:p w:rsidR="00487662" w:rsidRPr="00A3267F" w:rsidRDefault="00487662" w:rsidP="00A3267F">
      <w:pPr>
        <w:pStyle w:val="SemEspaamento"/>
        <w:rPr>
          <w:rFonts w:ascii="Arial" w:hAnsi="Arial" w:cs="Arial"/>
        </w:rPr>
      </w:pPr>
    </w:p>
    <w:p w:rsidR="001300B5" w:rsidRDefault="001300B5" w:rsidP="00A3267F">
      <w:pPr>
        <w:pStyle w:val="SemEspaamento"/>
        <w:jc w:val="both"/>
        <w:rPr>
          <w:rFonts w:ascii="Arial" w:hAnsi="Arial" w:cs="Arial"/>
        </w:rPr>
      </w:pPr>
      <w:r w:rsidRPr="00A3267F">
        <w:rPr>
          <w:rFonts w:ascii="Arial" w:hAnsi="Arial" w:cs="Arial"/>
          <w:b/>
        </w:rPr>
        <w:t>Parecer:</w:t>
      </w:r>
      <w:r w:rsidRPr="00A3267F">
        <w:rPr>
          <w:rFonts w:ascii="Arial" w:hAnsi="Arial" w:cs="Arial"/>
        </w:rPr>
        <w:t xml:space="preserve"> </w:t>
      </w:r>
      <w:r w:rsidR="002F3FFB" w:rsidRPr="00A3267F">
        <w:rPr>
          <w:rFonts w:ascii="Arial" w:hAnsi="Arial" w:cs="Arial"/>
        </w:rPr>
        <w:t>6</w:t>
      </w:r>
      <w:r w:rsidR="0012771C">
        <w:rPr>
          <w:rFonts w:ascii="Arial" w:hAnsi="Arial" w:cs="Arial"/>
        </w:rPr>
        <w:t>7</w:t>
      </w:r>
      <w:r w:rsidRPr="00A3267F">
        <w:rPr>
          <w:rFonts w:ascii="Arial" w:hAnsi="Arial" w:cs="Arial"/>
        </w:rPr>
        <w:t>/2018</w:t>
      </w:r>
    </w:p>
    <w:p w:rsidR="00D7060C" w:rsidRPr="00D7060C" w:rsidRDefault="00D7060C" w:rsidP="00D7060C">
      <w:pPr>
        <w:pStyle w:val="SemEspaamento"/>
        <w:rPr>
          <w:rFonts w:ascii="Arial" w:hAnsi="Arial" w:cs="Arial"/>
          <w:b/>
        </w:rPr>
      </w:pPr>
      <w:bookmarkStart w:id="0" w:name="_Hlk515960379"/>
      <w:r w:rsidRPr="00D7060C">
        <w:rPr>
          <w:rFonts w:ascii="Arial" w:hAnsi="Arial" w:cs="Arial"/>
          <w:b/>
        </w:rPr>
        <w:t>Data: 27 de setembro de 2018</w:t>
      </w:r>
    </w:p>
    <w:p w:rsidR="00D7060C" w:rsidRPr="00D7060C" w:rsidRDefault="00D7060C" w:rsidP="00D7060C">
      <w:pPr>
        <w:pStyle w:val="SemEspaamento"/>
        <w:rPr>
          <w:rFonts w:ascii="Arial" w:hAnsi="Arial" w:cs="Arial"/>
          <w:b/>
        </w:rPr>
      </w:pPr>
      <w:r w:rsidRPr="00D7060C">
        <w:rPr>
          <w:rFonts w:ascii="Arial" w:hAnsi="Arial" w:cs="Arial"/>
          <w:b/>
        </w:rPr>
        <w:t>Matéria: Projeto de Lei nº 048/2018</w:t>
      </w:r>
    </w:p>
    <w:p w:rsidR="00D7060C" w:rsidRPr="00D7060C" w:rsidRDefault="00D7060C" w:rsidP="00D7060C">
      <w:pPr>
        <w:pStyle w:val="SemEspaamento"/>
        <w:rPr>
          <w:rFonts w:ascii="Arial" w:hAnsi="Arial" w:cs="Arial"/>
          <w:b/>
        </w:rPr>
      </w:pPr>
      <w:r w:rsidRPr="00D7060C">
        <w:rPr>
          <w:rFonts w:ascii="Arial" w:hAnsi="Arial" w:cs="Arial"/>
          <w:b/>
        </w:rPr>
        <w:t xml:space="preserve">Ementa: O Poder Executivo fica autorizado a contribuir financeiramente com o Clube da Terceira Idade de Gramado – geração </w:t>
      </w:r>
      <w:proofErr w:type="spellStart"/>
      <w:r w:rsidRPr="00D7060C">
        <w:rPr>
          <w:rFonts w:ascii="Arial" w:hAnsi="Arial" w:cs="Arial"/>
          <w:b/>
        </w:rPr>
        <w:t>Azaléia</w:t>
      </w:r>
      <w:proofErr w:type="spellEnd"/>
      <w:r w:rsidRPr="00D7060C">
        <w:rPr>
          <w:rFonts w:ascii="Arial" w:hAnsi="Arial" w:cs="Arial"/>
          <w:b/>
        </w:rPr>
        <w:t>, e dá outras providencias.</w:t>
      </w:r>
    </w:p>
    <w:p w:rsidR="00D7060C" w:rsidRPr="00D7060C" w:rsidRDefault="00D7060C" w:rsidP="00D7060C">
      <w:pPr>
        <w:pStyle w:val="SemEspaamento"/>
        <w:rPr>
          <w:rFonts w:ascii="Arial" w:hAnsi="Arial" w:cs="Arial"/>
          <w:b/>
          <w:bCs/>
        </w:rPr>
      </w:pPr>
      <w:r w:rsidRPr="00D7060C">
        <w:rPr>
          <w:rFonts w:ascii="Arial" w:hAnsi="Arial" w:cs="Arial"/>
          <w:b/>
        </w:rPr>
        <w:t>Protocolo: 18/09/2018</w:t>
      </w:r>
    </w:p>
    <w:p w:rsidR="00D7060C" w:rsidRPr="00D7060C" w:rsidRDefault="00D7060C" w:rsidP="00D7060C">
      <w:pPr>
        <w:pStyle w:val="SemEspaamento"/>
        <w:rPr>
          <w:rFonts w:ascii="Arial" w:hAnsi="Arial" w:cs="Arial"/>
          <w:b/>
        </w:rPr>
      </w:pPr>
      <w:r w:rsidRPr="00D7060C">
        <w:rPr>
          <w:rFonts w:ascii="Arial" w:hAnsi="Arial" w:cs="Arial"/>
          <w:b/>
        </w:rPr>
        <w:t>Autor: Poder Executivo</w:t>
      </w:r>
    </w:p>
    <w:p w:rsidR="00437A11" w:rsidRPr="00C93B69" w:rsidRDefault="00437A11" w:rsidP="00437A11">
      <w:pPr>
        <w:pStyle w:val="SemEspaamento"/>
        <w:rPr>
          <w:rFonts w:ascii="Arial" w:hAnsi="Arial" w:cs="Arial"/>
        </w:rPr>
      </w:pPr>
      <w:r w:rsidRPr="00C93B69">
        <w:rPr>
          <w:rFonts w:ascii="Arial" w:hAnsi="Arial" w:cs="Arial"/>
          <w:b/>
        </w:rPr>
        <w:t xml:space="preserve">Relator: </w:t>
      </w:r>
      <w:r w:rsidRPr="00C93B69">
        <w:rPr>
          <w:rFonts w:ascii="Arial" w:hAnsi="Arial" w:cs="Arial"/>
        </w:rPr>
        <w:t xml:space="preserve">Vereador </w:t>
      </w:r>
      <w:r w:rsidR="00210A9B">
        <w:rPr>
          <w:rFonts w:ascii="Arial" w:hAnsi="Arial" w:cs="Arial"/>
        </w:rPr>
        <w:t>Prof. Daniel</w:t>
      </w:r>
    </w:p>
    <w:p w:rsidR="00437A11" w:rsidRPr="00C93B69" w:rsidRDefault="00437A11" w:rsidP="00437A11">
      <w:pPr>
        <w:pStyle w:val="SemEspaamento"/>
        <w:rPr>
          <w:rFonts w:ascii="Arial" w:hAnsi="Arial" w:cs="Arial"/>
        </w:rPr>
      </w:pPr>
      <w:r w:rsidRPr="00C93B69">
        <w:rPr>
          <w:rFonts w:ascii="Arial" w:hAnsi="Arial" w:cs="Arial"/>
          <w:b/>
        </w:rPr>
        <w:t>Conclusão do Voto:</w:t>
      </w:r>
      <w:r w:rsidRPr="00C93B69">
        <w:rPr>
          <w:rFonts w:ascii="Arial" w:hAnsi="Arial" w:cs="Arial"/>
        </w:rPr>
        <w:t xml:space="preserve"> favorável à tramitação da matéria</w:t>
      </w:r>
    </w:p>
    <w:p w:rsidR="00437A11" w:rsidRPr="00C93B69" w:rsidRDefault="00437A11" w:rsidP="00437A11">
      <w:pPr>
        <w:pStyle w:val="SemEspaamento"/>
        <w:jc w:val="both"/>
        <w:rPr>
          <w:rFonts w:ascii="Arial" w:hAnsi="Arial" w:cs="Arial"/>
        </w:rPr>
      </w:pPr>
    </w:p>
    <w:p w:rsidR="00437A11" w:rsidRDefault="00437A11" w:rsidP="00437A11">
      <w:pPr>
        <w:pStyle w:val="SemEspaamento"/>
        <w:jc w:val="center"/>
        <w:rPr>
          <w:rFonts w:ascii="Arial" w:hAnsi="Arial" w:cs="Arial"/>
          <w:b/>
        </w:rPr>
      </w:pPr>
      <w:r w:rsidRPr="00C93B69">
        <w:rPr>
          <w:rFonts w:ascii="Arial" w:hAnsi="Arial" w:cs="Arial"/>
          <w:b/>
        </w:rPr>
        <w:t>Relatório:</w:t>
      </w:r>
    </w:p>
    <w:p w:rsidR="0012771C" w:rsidRPr="00C93B69" w:rsidRDefault="0012771C" w:rsidP="00437A11">
      <w:pPr>
        <w:pStyle w:val="SemEspaamento"/>
        <w:jc w:val="center"/>
        <w:rPr>
          <w:rFonts w:ascii="Arial" w:hAnsi="Arial" w:cs="Arial"/>
          <w:b/>
        </w:rPr>
      </w:pPr>
    </w:p>
    <w:bookmarkEnd w:id="0"/>
    <w:p w:rsidR="00D7060C" w:rsidRPr="00D7060C" w:rsidRDefault="00D7060C" w:rsidP="00D7060C">
      <w:pPr>
        <w:pStyle w:val="SemEspaamento"/>
        <w:ind w:firstLine="2268"/>
        <w:jc w:val="both"/>
        <w:rPr>
          <w:rFonts w:ascii="Arial" w:hAnsi="Arial" w:cs="Arial"/>
        </w:rPr>
      </w:pPr>
      <w:r w:rsidRPr="00D7060C">
        <w:rPr>
          <w:rFonts w:ascii="Arial" w:hAnsi="Arial" w:cs="Arial"/>
        </w:rPr>
        <w:t xml:space="preserve">Foi encaminhado a esta Casa, o Projeto de Lei nº 48/2018, de autoria do Executivo Municipal, protocolado em 18/09/2018, que requer autorização legislativa para o Poder Executivo contribuir financeiramente com o Clube Terceira Idade de Gramado – Geração Azaleia, no valor de até R$ 15.000,00 (quinze mil reais). Na Justificativa aduz o proponente que o recurso é proveniente da emenda impositiva proposta pelo Vereador Everton </w:t>
      </w:r>
      <w:proofErr w:type="spellStart"/>
      <w:r w:rsidRPr="00D7060C">
        <w:rPr>
          <w:rFonts w:ascii="Arial" w:hAnsi="Arial" w:cs="Arial"/>
        </w:rPr>
        <w:t>Michaelsen</w:t>
      </w:r>
      <w:proofErr w:type="spellEnd"/>
      <w:r w:rsidRPr="00D7060C">
        <w:rPr>
          <w:rFonts w:ascii="Arial" w:hAnsi="Arial" w:cs="Arial"/>
        </w:rPr>
        <w:t xml:space="preserve"> (MDB), no valor de até R$ 15.000,00 (quinze mil reais), com objetivo de fomentar a realização de atividades sociais e recreativas, promovendo o convívio entre os integrantes da Entidade beneficiada.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D7060C" w:rsidRPr="00D7060C" w:rsidRDefault="00D7060C" w:rsidP="00D7060C">
      <w:pPr>
        <w:pStyle w:val="SemEspaamento"/>
        <w:ind w:firstLine="2268"/>
        <w:jc w:val="both"/>
        <w:rPr>
          <w:rFonts w:ascii="Arial" w:hAnsi="Arial" w:cs="Arial"/>
        </w:rPr>
      </w:pPr>
      <w:r w:rsidRPr="00D7060C">
        <w:rPr>
          <w:rFonts w:ascii="Arial" w:hAnsi="Arial" w:cs="Arial"/>
        </w:rPr>
        <w:t>O projeto já foi analisado pela Procuradora Geral da Casa, a qual proferiu Orientação Jurídica nº 68/2018, favorável à tramitação</w:t>
      </w:r>
      <w:r w:rsidRPr="00D7060C">
        <w:rPr>
          <w:rFonts w:ascii="Arial" w:hAnsi="Arial" w:cs="Arial"/>
          <w:b/>
        </w:rPr>
        <w:t xml:space="preserve"> </w:t>
      </w:r>
      <w:r w:rsidRPr="00D7060C">
        <w:rPr>
          <w:rFonts w:ascii="Arial" w:hAnsi="Arial" w:cs="Arial"/>
        </w:rPr>
        <w:t>do PL 48/2018, vez que atende as normas legais impostas, estando presentes a legalidade e constitucionalidade.</w:t>
      </w:r>
      <w:r w:rsidRPr="00D7060C">
        <w:rPr>
          <w:rFonts w:ascii="Arial" w:hAnsi="Arial" w:cs="Arial"/>
          <w:bCs/>
        </w:rPr>
        <w:t xml:space="preserve"> </w:t>
      </w:r>
      <w:r w:rsidRPr="00D7060C">
        <w:rPr>
          <w:rFonts w:ascii="Arial" w:hAnsi="Arial" w:cs="Arial"/>
        </w:rPr>
        <w:t>Tal orientação jurídica embasa a elaboração do presente parecer.</w:t>
      </w:r>
    </w:p>
    <w:p w:rsidR="00437A11" w:rsidRDefault="00437A11" w:rsidP="00A3267F">
      <w:pPr>
        <w:pStyle w:val="SemEspaamento"/>
        <w:jc w:val="center"/>
        <w:rPr>
          <w:rFonts w:ascii="Arial" w:hAnsi="Arial" w:cs="Arial"/>
          <w:b/>
        </w:rPr>
      </w:pPr>
    </w:p>
    <w:p w:rsidR="000E2A67" w:rsidRPr="00A3267F" w:rsidRDefault="00487662" w:rsidP="00A3267F">
      <w:pPr>
        <w:pStyle w:val="SemEspaamento"/>
        <w:jc w:val="center"/>
        <w:rPr>
          <w:rFonts w:ascii="Arial" w:hAnsi="Arial" w:cs="Arial"/>
          <w:b/>
        </w:rPr>
      </w:pPr>
      <w:r w:rsidRPr="00A3267F">
        <w:rPr>
          <w:rFonts w:ascii="Arial" w:hAnsi="Arial" w:cs="Arial"/>
          <w:b/>
        </w:rPr>
        <w:t>Análise</w:t>
      </w:r>
      <w:r w:rsidR="000E2A67" w:rsidRPr="00A3267F">
        <w:rPr>
          <w:rFonts w:ascii="Arial" w:hAnsi="Arial" w:cs="Arial"/>
          <w:b/>
        </w:rPr>
        <w:t>:</w:t>
      </w:r>
    </w:p>
    <w:p w:rsidR="001F21E0" w:rsidRPr="00A3267F" w:rsidRDefault="001F21E0" w:rsidP="00A3267F">
      <w:pPr>
        <w:pStyle w:val="SemEspaamento"/>
        <w:jc w:val="center"/>
        <w:rPr>
          <w:rFonts w:ascii="Arial" w:hAnsi="Arial" w:cs="Arial"/>
          <w:b/>
        </w:rPr>
      </w:pPr>
    </w:p>
    <w:p w:rsidR="00FC5EEC" w:rsidRPr="00A3267F" w:rsidRDefault="000E2A67" w:rsidP="00A3267F">
      <w:pPr>
        <w:pStyle w:val="SemEspaamento"/>
        <w:jc w:val="both"/>
        <w:rPr>
          <w:rFonts w:ascii="Arial" w:hAnsi="Arial" w:cs="Arial"/>
        </w:rPr>
      </w:pPr>
      <w:r w:rsidRPr="00A3267F">
        <w:rPr>
          <w:rFonts w:ascii="Arial" w:hAnsi="Arial" w:cs="Arial"/>
          <w:b/>
        </w:rPr>
        <w:t>I –</w:t>
      </w:r>
      <w:r w:rsidRPr="00A3267F">
        <w:rPr>
          <w:rFonts w:ascii="Arial" w:hAnsi="Arial" w:cs="Arial"/>
        </w:rPr>
        <w:t xml:space="preserve"> </w:t>
      </w:r>
      <w:r w:rsidRPr="00A3267F">
        <w:rPr>
          <w:rFonts w:ascii="Arial" w:hAnsi="Arial" w:cs="Arial"/>
          <w:b/>
        </w:rPr>
        <w:t xml:space="preserve">Quanto </w:t>
      </w:r>
      <w:r w:rsidR="005406A5" w:rsidRPr="00A3267F">
        <w:rPr>
          <w:rFonts w:ascii="Arial" w:hAnsi="Arial" w:cs="Arial"/>
          <w:b/>
        </w:rPr>
        <w:t>aos fundamentos legais para análise desta Comissão</w:t>
      </w:r>
      <w:r w:rsidR="008B46F2" w:rsidRPr="00A3267F">
        <w:rPr>
          <w:rFonts w:ascii="Arial" w:hAnsi="Arial" w:cs="Arial"/>
        </w:rPr>
        <w:t>:</w:t>
      </w:r>
    </w:p>
    <w:p w:rsidR="000E2A67" w:rsidRPr="00A3267F" w:rsidRDefault="000E2A67" w:rsidP="00A3267F">
      <w:pPr>
        <w:pStyle w:val="SemEspaamento"/>
        <w:jc w:val="both"/>
        <w:rPr>
          <w:rFonts w:ascii="Arial" w:hAnsi="Arial" w:cs="Arial"/>
        </w:rPr>
      </w:pPr>
      <w:r w:rsidRPr="00A3267F">
        <w:rPr>
          <w:rFonts w:ascii="Arial" w:hAnsi="Arial" w:cs="Arial"/>
        </w:rPr>
        <w:t>Art. 5</w:t>
      </w:r>
      <w:r w:rsidR="008D19A7" w:rsidRPr="00A3267F">
        <w:rPr>
          <w:rFonts w:ascii="Arial" w:hAnsi="Arial" w:cs="Arial"/>
        </w:rPr>
        <w:t>6</w:t>
      </w:r>
      <w:r w:rsidRPr="00A3267F">
        <w:rPr>
          <w:rFonts w:ascii="Arial" w:hAnsi="Arial" w:cs="Arial"/>
        </w:rPr>
        <w:t>, I, do Regimento Interno desta Casa</w:t>
      </w:r>
      <w:r w:rsidR="008B46F2" w:rsidRPr="00A3267F">
        <w:rPr>
          <w:rFonts w:ascii="Arial" w:hAnsi="Arial" w:cs="Arial"/>
        </w:rPr>
        <w:t>;</w:t>
      </w:r>
    </w:p>
    <w:p w:rsidR="00E773FD" w:rsidRPr="00A3267F" w:rsidRDefault="00E773FD" w:rsidP="00A3267F">
      <w:pPr>
        <w:pStyle w:val="SemEspaamento"/>
        <w:jc w:val="both"/>
        <w:rPr>
          <w:rFonts w:ascii="Arial" w:hAnsi="Arial" w:cs="Arial"/>
        </w:rPr>
      </w:pPr>
    </w:p>
    <w:p w:rsidR="000E2A67" w:rsidRDefault="00B7738C" w:rsidP="00A3267F">
      <w:pPr>
        <w:pStyle w:val="SemEspaamento"/>
        <w:rPr>
          <w:rFonts w:ascii="Arial" w:hAnsi="Arial" w:cs="Arial"/>
          <w:b/>
          <w:bCs/>
          <w:color w:val="000000"/>
        </w:rPr>
      </w:pPr>
      <w:r w:rsidRPr="00A3267F">
        <w:rPr>
          <w:rFonts w:ascii="Arial" w:hAnsi="Arial" w:cs="Arial"/>
          <w:b/>
          <w:bCs/>
          <w:color w:val="000000"/>
        </w:rPr>
        <w:t>II – Quanto ao mérito:</w:t>
      </w:r>
    </w:p>
    <w:p w:rsidR="00210A9B" w:rsidRDefault="00210A9B" w:rsidP="00A3267F">
      <w:pPr>
        <w:pStyle w:val="SemEspaamento"/>
        <w:rPr>
          <w:rFonts w:ascii="Arial" w:hAnsi="Arial" w:cs="Arial"/>
          <w:b/>
          <w:bCs/>
          <w:color w:val="000000"/>
        </w:rPr>
      </w:pPr>
    </w:p>
    <w:p w:rsidR="00D7060C" w:rsidRPr="00512189" w:rsidRDefault="00D7060C" w:rsidP="00D7060C">
      <w:pPr>
        <w:spacing w:after="0" w:line="240" w:lineRule="auto"/>
        <w:ind w:firstLine="2268"/>
        <w:jc w:val="both"/>
        <w:rPr>
          <w:rFonts w:ascii="Arial" w:hAnsi="Arial" w:cs="Arial"/>
          <w:i/>
          <w:sz w:val="24"/>
        </w:rPr>
      </w:pPr>
      <w:r w:rsidRPr="00512189">
        <w:rPr>
          <w:rFonts w:ascii="Arial" w:hAnsi="Arial" w:cs="Arial"/>
          <w:sz w:val="24"/>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w:t>
      </w:r>
      <w:r>
        <w:rPr>
          <w:rFonts w:ascii="Arial" w:hAnsi="Arial" w:cs="Arial"/>
          <w:sz w:val="24"/>
        </w:rPr>
        <w:t>.</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Portanto, três são as exigências para concessão das subvenções:</w:t>
      </w:r>
    </w:p>
    <w:p w:rsidR="00D7060C" w:rsidRPr="00512189" w:rsidRDefault="00D7060C" w:rsidP="00D7060C">
      <w:pPr>
        <w:numPr>
          <w:ilvl w:val="0"/>
          <w:numId w:val="23"/>
        </w:numPr>
        <w:spacing w:after="0" w:line="240" w:lineRule="auto"/>
        <w:jc w:val="both"/>
        <w:rPr>
          <w:rFonts w:ascii="Arial" w:hAnsi="Arial" w:cs="Arial"/>
          <w:sz w:val="24"/>
        </w:rPr>
      </w:pPr>
      <w:r w:rsidRPr="00512189">
        <w:rPr>
          <w:rFonts w:ascii="Arial" w:hAnsi="Arial" w:cs="Arial"/>
          <w:sz w:val="24"/>
        </w:rPr>
        <w:t>Que o Município tenha disponibilidade de recursos financeiros para sua concessão;</w:t>
      </w:r>
    </w:p>
    <w:p w:rsidR="00D7060C" w:rsidRPr="00512189" w:rsidRDefault="00D7060C" w:rsidP="00D7060C">
      <w:pPr>
        <w:numPr>
          <w:ilvl w:val="0"/>
          <w:numId w:val="23"/>
        </w:numPr>
        <w:spacing w:after="0" w:line="240" w:lineRule="auto"/>
        <w:jc w:val="both"/>
        <w:rPr>
          <w:rFonts w:ascii="Arial" w:hAnsi="Arial" w:cs="Arial"/>
          <w:sz w:val="24"/>
        </w:rPr>
      </w:pPr>
      <w:r w:rsidRPr="00512189">
        <w:rPr>
          <w:rFonts w:ascii="Arial" w:hAnsi="Arial" w:cs="Arial"/>
          <w:sz w:val="24"/>
        </w:rPr>
        <w:lastRenderedPageBreak/>
        <w:t>Que o direcionamento de recursos se dê apenas para os serviços de assistência social, serviços médicos e serviços educacionais, em conformidade com a Constituição Federal, Capítulo I, Título VIII, da ordem social</w:t>
      </w:r>
      <w:r w:rsidRPr="00512189">
        <w:rPr>
          <w:rFonts w:ascii="Arial" w:hAnsi="Arial" w:cs="Arial"/>
          <w:sz w:val="24"/>
          <w:vertAlign w:val="superscript"/>
        </w:rPr>
        <w:footnoteReference w:id="1"/>
      </w:r>
    </w:p>
    <w:p w:rsidR="00D7060C" w:rsidRPr="00512189" w:rsidRDefault="00D7060C" w:rsidP="00D7060C">
      <w:pPr>
        <w:numPr>
          <w:ilvl w:val="0"/>
          <w:numId w:val="23"/>
        </w:numPr>
        <w:spacing w:after="0" w:line="240" w:lineRule="auto"/>
        <w:jc w:val="both"/>
        <w:rPr>
          <w:rFonts w:ascii="Arial" w:hAnsi="Arial" w:cs="Arial"/>
          <w:sz w:val="24"/>
        </w:rPr>
      </w:pPr>
      <w:r w:rsidRPr="00512189">
        <w:rPr>
          <w:rFonts w:ascii="Arial" w:hAnsi="Arial" w:cs="Arial"/>
          <w:sz w:val="24"/>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 ser o caso da presente propositura, caso o investimento seja enquadrado como projeto na área da saúde. Pode ainda, todavia, o Município se utilizar pela via da assistência social, através de subvenção social, o que também é possível, nesta hipótese com formatação diversa da do convênio. </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12189">
        <w:rPr>
          <w:rFonts w:ascii="Arial" w:hAnsi="Arial" w:cs="Arial"/>
          <w:sz w:val="24"/>
        </w:rPr>
        <w:t>que,  ainda</w:t>
      </w:r>
      <w:proofErr w:type="gramEnd"/>
      <w:r w:rsidRPr="00512189">
        <w:rPr>
          <w:rFonts w:ascii="Arial" w:hAnsi="Arial" w:cs="Arial"/>
          <w:sz w:val="24"/>
        </w:rPr>
        <w:t xml:space="preserve"> que sem fins lucrativos, há de se observar as demais situações legais quando aplica-se o regramento da Lei 13.019/2014 e Lei de Responsabilidade Fiscal. </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Assim, havendo a transferência de recursos em benefício de Entidade da sociedade civil organizada, como é o caso do presente PL, </w:t>
      </w:r>
      <w:r w:rsidRPr="00512189">
        <w:rPr>
          <w:rFonts w:ascii="Arial" w:hAnsi="Arial" w:cs="Arial"/>
          <w:sz w:val="24"/>
          <w:u w:val="single"/>
        </w:rPr>
        <w:t>duas</w:t>
      </w:r>
      <w:r w:rsidRPr="00512189">
        <w:rPr>
          <w:rFonts w:ascii="Arial" w:hAnsi="Arial" w:cs="Arial"/>
          <w:sz w:val="24"/>
        </w:rPr>
        <w:t xml:space="preserve"> são as formas de viabilidade admitidas na referida lei: sendo o plano de trabalho de iniciativa da administração pública, a formatação deverá ser através de </w:t>
      </w:r>
      <w:r w:rsidRPr="00512189">
        <w:rPr>
          <w:rFonts w:ascii="Arial" w:hAnsi="Arial" w:cs="Arial"/>
          <w:b/>
          <w:sz w:val="24"/>
        </w:rPr>
        <w:t>termo de colaboração</w:t>
      </w:r>
      <w:r w:rsidRPr="00512189">
        <w:rPr>
          <w:rFonts w:ascii="Arial" w:hAnsi="Arial" w:cs="Arial"/>
          <w:sz w:val="24"/>
        </w:rPr>
        <w:t xml:space="preserve"> firmado entre o poder Público e a Entidade beneficiada. Porém, sendo o plano de trabalho decorrente da iniciativa da sociedade civil, </w:t>
      </w:r>
      <w:r w:rsidRPr="00512189">
        <w:rPr>
          <w:rFonts w:ascii="Arial" w:hAnsi="Arial" w:cs="Arial"/>
          <w:sz w:val="24"/>
          <w:u w:val="single"/>
        </w:rPr>
        <w:t>que parece ser o caso</w:t>
      </w:r>
      <w:r w:rsidRPr="00512189">
        <w:rPr>
          <w:rFonts w:ascii="Arial" w:hAnsi="Arial" w:cs="Arial"/>
          <w:sz w:val="24"/>
        </w:rPr>
        <w:t xml:space="preserve">, a formatação será através de </w:t>
      </w:r>
      <w:r w:rsidRPr="00512189">
        <w:rPr>
          <w:rFonts w:ascii="Arial" w:hAnsi="Arial" w:cs="Arial"/>
          <w:b/>
          <w:sz w:val="24"/>
        </w:rPr>
        <w:t>termo de fomento</w:t>
      </w:r>
      <w:r w:rsidRPr="00512189">
        <w:rPr>
          <w:rFonts w:ascii="Arial" w:hAnsi="Arial" w:cs="Arial"/>
          <w:sz w:val="24"/>
        </w:rPr>
        <w:t xml:space="preserve"> firmado entre a administração pública e a Entidade beneficiada. </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lastRenderedPageBreak/>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O próprio Decreto Municipal nº 007/2017, emitido pelo Executivo Municipal para regulamentar a Lei Federal 13019/2014, art. 10, estabelece os casos que poderão ser dispensados o chamamento público, entre os </w:t>
      </w:r>
      <w:proofErr w:type="gramStart"/>
      <w:r w:rsidRPr="00512189">
        <w:rPr>
          <w:rFonts w:ascii="Arial" w:hAnsi="Arial" w:cs="Arial"/>
          <w:sz w:val="24"/>
        </w:rPr>
        <w:t>quais  para</w:t>
      </w:r>
      <w:proofErr w:type="gramEnd"/>
      <w:r w:rsidRPr="00512189">
        <w:rPr>
          <w:rFonts w:ascii="Arial" w:hAnsi="Arial" w:cs="Arial"/>
          <w:sz w:val="24"/>
        </w:rPr>
        <w:t xml:space="preserve"> atividades voltadas ou vinculadas a serviços de educação, </w:t>
      </w:r>
      <w:r w:rsidRPr="00512189">
        <w:rPr>
          <w:rFonts w:ascii="Arial" w:hAnsi="Arial" w:cs="Arial"/>
          <w:b/>
          <w:sz w:val="24"/>
        </w:rPr>
        <w:t>saúde e</w:t>
      </w:r>
      <w:r w:rsidRPr="00512189">
        <w:rPr>
          <w:rFonts w:ascii="Arial" w:hAnsi="Arial" w:cs="Arial"/>
          <w:sz w:val="24"/>
        </w:rPr>
        <w:t xml:space="preserve"> </w:t>
      </w:r>
      <w:r w:rsidRPr="00512189">
        <w:rPr>
          <w:rFonts w:ascii="Arial" w:hAnsi="Arial" w:cs="Arial"/>
          <w:b/>
          <w:sz w:val="24"/>
        </w:rPr>
        <w:t>assistência social</w:t>
      </w:r>
      <w:r w:rsidRPr="00512189">
        <w:rPr>
          <w:rFonts w:ascii="Arial" w:hAnsi="Arial" w:cs="Arial"/>
          <w:sz w:val="24"/>
        </w:rPr>
        <w:t xml:space="preserve">, podendo  a administração pública, em confirmada esta situação, optar pela dispensa do chamamento público. </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Contudo, a Lei de Responsabilidade Fiscal, objetivando conter desvios e prevenir abusos na destinação de recursos para o setor privado, prescreveu requisitos básicos conforme se depreende do art. 26, </w:t>
      </w:r>
      <w:r w:rsidRPr="00512189">
        <w:rPr>
          <w:rFonts w:ascii="Arial" w:hAnsi="Arial" w:cs="Arial"/>
          <w:i/>
          <w:sz w:val="24"/>
        </w:rPr>
        <w:t xml:space="preserve">in </w:t>
      </w:r>
      <w:proofErr w:type="spellStart"/>
      <w:r w:rsidRPr="00512189">
        <w:rPr>
          <w:rFonts w:ascii="Arial" w:hAnsi="Arial" w:cs="Arial"/>
          <w:i/>
          <w:sz w:val="24"/>
        </w:rPr>
        <w:t>verbis</w:t>
      </w:r>
      <w:proofErr w:type="spellEnd"/>
      <w:r w:rsidRPr="00512189">
        <w:rPr>
          <w:rFonts w:ascii="Arial" w:hAnsi="Arial" w:cs="Arial"/>
          <w:sz w:val="24"/>
        </w:rPr>
        <w:t>:</w:t>
      </w:r>
    </w:p>
    <w:p w:rsidR="00D7060C" w:rsidRPr="00512189" w:rsidRDefault="00D7060C" w:rsidP="00D7060C">
      <w:pPr>
        <w:spacing w:after="0" w:line="240" w:lineRule="auto"/>
        <w:ind w:firstLine="2268"/>
        <w:jc w:val="both"/>
        <w:rPr>
          <w:rFonts w:ascii="Arial" w:hAnsi="Arial" w:cs="Arial"/>
          <w:i/>
          <w:sz w:val="24"/>
        </w:rPr>
      </w:pPr>
      <w:bookmarkStart w:id="1" w:name="art26"/>
      <w:bookmarkEnd w:id="1"/>
    </w:p>
    <w:p w:rsidR="00D7060C" w:rsidRPr="00512189" w:rsidRDefault="00D7060C" w:rsidP="00D7060C">
      <w:pPr>
        <w:spacing w:after="0" w:line="240" w:lineRule="auto"/>
        <w:ind w:firstLine="2268"/>
        <w:jc w:val="both"/>
        <w:rPr>
          <w:rFonts w:ascii="Arial" w:hAnsi="Arial" w:cs="Arial"/>
          <w:i/>
          <w:sz w:val="24"/>
        </w:rPr>
      </w:pPr>
      <w:r w:rsidRPr="00512189">
        <w:rPr>
          <w:rFonts w:ascii="Arial" w:hAnsi="Arial" w:cs="Arial"/>
          <w:i/>
          <w:sz w:val="24"/>
        </w:rPr>
        <w:t>“Art. 26.</w:t>
      </w:r>
      <w:r w:rsidRPr="00512189">
        <w:rPr>
          <w:rFonts w:ascii="Arial" w:hAnsi="Arial" w:cs="Arial"/>
          <w:b/>
          <w:bCs/>
          <w:i/>
          <w:sz w:val="24"/>
        </w:rPr>
        <w:t> </w:t>
      </w:r>
      <w:r w:rsidRPr="00512189">
        <w:rPr>
          <w:rFonts w:ascii="Arial" w:hAnsi="Arial" w:cs="Arial"/>
          <w:i/>
          <w:sz w:val="24"/>
        </w:rPr>
        <w:t xml:space="preserve">A destinação de recursos </w:t>
      </w:r>
      <w:proofErr w:type="gramStart"/>
      <w:r w:rsidRPr="00512189">
        <w:rPr>
          <w:rFonts w:ascii="Arial" w:hAnsi="Arial" w:cs="Arial"/>
          <w:i/>
          <w:sz w:val="24"/>
        </w:rPr>
        <w:t>para, direta</w:t>
      </w:r>
      <w:proofErr w:type="gramEnd"/>
      <w:r w:rsidRPr="00512189">
        <w:rPr>
          <w:rFonts w:ascii="Arial" w:hAnsi="Arial" w:cs="Arial"/>
          <w:i/>
          <w:sz w:val="24"/>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Portanto, três requisitos são básicos e devem ser observados, em cumprimento à Lei de Responsabilidade Fiscal, na concessão de subvenções sociais:</w:t>
      </w:r>
    </w:p>
    <w:p w:rsidR="00D7060C" w:rsidRPr="00512189" w:rsidRDefault="00D7060C" w:rsidP="00D7060C">
      <w:pPr>
        <w:numPr>
          <w:ilvl w:val="0"/>
          <w:numId w:val="24"/>
        </w:numPr>
        <w:spacing w:after="0" w:line="240" w:lineRule="auto"/>
        <w:jc w:val="both"/>
        <w:rPr>
          <w:rFonts w:ascii="Arial" w:hAnsi="Arial" w:cs="Arial"/>
          <w:sz w:val="24"/>
        </w:rPr>
      </w:pPr>
      <w:r w:rsidRPr="00512189">
        <w:rPr>
          <w:rFonts w:ascii="Arial" w:hAnsi="Arial" w:cs="Arial"/>
          <w:sz w:val="24"/>
        </w:rPr>
        <w:t>autorização por lei específica;</w:t>
      </w:r>
    </w:p>
    <w:p w:rsidR="00D7060C" w:rsidRPr="00512189" w:rsidRDefault="00D7060C" w:rsidP="00D7060C">
      <w:pPr>
        <w:numPr>
          <w:ilvl w:val="0"/>
          <w:numId w:val="24"/>
        </w:numPr>
        <w:spacing w:after="0" w:line="240" w:lineRule="auto"/>
        <w:jc w:val="both"/>
        <w:rPr>
          <w:rFonts w:ascii="Arial" w:hAnsi="Arial" w:cs="Arial"/>
          <w:sz w:val="24"/>
        </w:rPr>
      </w:pPr>
      <w:r w:rsidRPr="00512189">
        <w:rPr>
          <w:rFonts w:ascii="Arial" w:hAnsi="Arial" w:cs="Arial"/>
          <w:sz w:val="24"/>
        </w:rPr>
        <w:t>atendimento das condições estabelecidas na LDO – Lei de Diretrizes orçamentárias;</w:t>
      </w:r>
    </w:p>
    <w:p w:rsidR="00D7060C" w:rsidRPr="00512189" w:rsidRDefault="00D7060C" w:rsidP="00D7060C">
      <w:pPr>
        <w:numPr>
          <w:ilvl w:val="0"/>
          <w:numId w:val="24"/>
        </w:numPr>
        <w:spacing w:after="0" w:line="240" w:lineRule="auto"/>
        <w:jc w:val="both"/>
        <w:rPr>
          <w:rFonts w:ascii="Arial" w:hAnsi="Arial" w:cs="Arial"/>
          <w:sz w:val="24"/>
        </w:rPr>
      </w:pPr>
      <w:r w:rsidRPr="00512189">
        <w:rPr>
          <w:rFonts w:ascii="Arial" w:hAnsi="Arial" w:cs="Arial"/>
          <w:sz w:val="24"/>
        </w:rPr>
        <w:t>Inclusão da despesa pública no orçamento, com fixação dos elementos da despesa, com definição do valor a ser repassado, sendo vedada a concessão ou utilização de créditos ilimitados</w:t>
      </w:r>
      <w:r w:rsidRPr="00512189">
        <w:rPr>
          <w:rFonts w:ascii="Arial" w:hAnsi="Arial" w:cs="Arial"/>
          <w:sz w:val="24"/>
          <w:vertAlign w:val="superscript"/>
        </w:rPr>
        <w:footnoteReference w:id="2"/>
      </w:r>
    </w:p>
    <w:p w:rsidR="00D7060C" w:rsidRPr="00512189" w:rsidRDefault="00D7060C" w:rsidP="00D7060C">
      <w:pPr>
        <w:spacing w:after="0" w:line="240" w:lineRule="auto"/>
        <w:ind w:firstLine="2268"/>
        <w:jc w:val="both"/>
        <w:rPr>
          <w:rFonts w:ascii="Arial" w:hAnsi="Arial" w:cs="Arial"/>
          <w:sz w:val="24"/>
        </w:rPr>
      </w:pPr>
    </w:p>
    <w:p w:rsidR="00D7060C" w:rsidRPr="00512189" w:rsidRDefault="00D7060C" w:rsidP="00D7060C">
      <w:pPr>
        <w:spacing w:after="0" w:line="240" w:lineRule="auto"/>
        <w:ind w:firstLine="2268"/>
        <w:jc w:val="both"/>
        <w:rPr>
          <w:rFonts w:ascii="Arial" w:hAnsi="Arial" w:cs="Arial"/>
          <w:sz w:val="24"/>
        </w:rPr>
      </w:pPr>
      <w:r w:rsidRPr="00512189">
        <w:rPr>
          <w:rFonts w:ascii="Arial" w:hAnsi="Arial" w:cs="Arial"/>
          <w:sz w:val="24"/>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512189">
        <w:rPr>
          <w:rFonts w:ascii="Arial" w:hAnsi="Arial" w:cs="Arial"/>
          <w:sz w:val="24"/>
        </w:rPr>
        <w:t>art</w:t>
      </w:r>
      <w:proofErr w:type="spellEnd"/>
      <w:r w:rsidRPr="00512189">
        <w:rPr>
          <w:rFonts w:ascii="Arial" w:hAnsi="Arial" w:cs="Arial"/>
          <w:sz w:val="24"/>
        </w:rPr>
        <w:t xml:space="preserve">, 26 da LRF, desde que em consonância à LDO e cumprido o rito da Lei 13.019/2014, além da aprovação prévia de lei específica, para execução do repasse. </w:t>
      </w:r>
    </w:p>
    <w:p w:rsidR="00210A9B" w:rsidRPr="00A3267F" w:rsidRDefault="00210A9B" w:rsidP="00A3267F">
      <w:pPr>
        <w:pStyle w:val="SemEspaamento"/>
        <w:rPr>
          <w:rFonts w:ascii="Arial" w:hAnsi="Arial" w:cs="Arial"/>
          <w:b/>
          <w:bCs/>
          <w:color w:val="000000"/>
        </w:rPr>
      </w:pPr>
    </w:p>
    <w:p w:rsidR="00E91B66" w:rsidRDefault="00E91B66" w:rsidP="00A3267F">
      <w:pPr>
        <w:tabs>
          <w:tab w:val="left" w:pos="2268"/>
          <w:tab w:val="left" w:pos="5059"/>
        </w:tabs>
        <w:spacing w:line="240" w:lineRule="auto"/>
        <w:jc w:val="center"/>
        <w:rPr>
          <w:rFonts w:ascii="Arial" w:eastAsia="Calibri" w:hAnsi="Arial" w:cs="Arial"/>
          <w:b/>
        </w:rPr>
      </w:pPr>
    </w:p>
    <w:p w:rsidR="00A33CA8" w:rsidRPr="00A3267F" w:rsidRDefault="00A33CA8" w:rsidP="00A3267F">
      <w:pPr>
        <w:tabs>
          <w:tab w:val="left" w:pos="2268"/>
          <w:tab w:val="left" w:pos="5059"/>
        </w:tabs>
        <w:spacing w:line="240" w:lineRule="auto"/>
        <w:jc w:val="center"/>
        <w:rPr>
          <w:rFonts w:ascii="Arial" w:eastAsia="Calibri" w:hAnsi="Arial" w:cs="Arial"/>
          <w:b/>
        </w:rPr>
      </w:pPr>
      <w:r w:rsidRPr="00A3267F">
        <w:rPr>
          <w:rFonts w:ascii="Arial" w:eastAsia="Calibri" w:hAnsi="Arial" w:cs="Arial"/>
          <w:b/>
        </w:rPr>
        <w:t>Conclusão do Voto:</w:t>
      </w:r>
    </w:p>
    <w:p w:rsidR="005C5A39" w:rsidRDefault="00A33CA8" w:rsidP="00A3267F">
      <w:pPr>
        <w:spacing w:line="240" w:lineRule="auto"/>
        <w:ind w:firstLine="2268"/>
        <w:jc w:val="both"/>
        <w:rPr>
          <w:rFonts w:ascii="Arial" w:eastAsia="Calibri" w:hAnsi="Arial" w:cs="Arial"/>
        </w:rPr>
      </w:pPr>
      <w:r w:rsidRPr="00A3267F">
        <w:rPr>
          <w:rFonts w:ascii="Arial" w:eastAsia="Calibri" w:hAnsi="Arial" w:cs="Arial"/>
        </w:rPr>
        <w:tab/>
      </w:r>
      <w:r w:rsidR="005C5A39" w:rsidRPr="00A3267F">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A3267F">
        <w:rPr>
          <w:rFonts w:ascii="Arial" w:eastAsia="Calibri" w:hAnsi="Arial" w:cs="Arial"/>
        </w:rPr>
        <w:t>ente voto concluindo que o PL 0</w:t>
      </w:r>
      <w:r w:rsidR="00437A11">
        <w:rPr>
          <w:rFonts w:ascii="Arial" w:eastAsia="Calibri" w:hAnsi="Arial" w:cs="Arial"/>
        </w:rPr>
        <w:t>4</w:t>
      </w:r>
      <w:r w:rsidR="00D7060C">
        <w:rPr>
          <w:rFonts w:ascii="Arial" w:eastAsia="Calibri" w:hAnsi="Arial" w:cs="Arial"/>
        </w:rPr>
        <w:t>8</w:t>
      </w:r>
      <w:r w:rsidR="005C5A39" w:rsidRPr="00A3267F">
        <w:rPr>
          <w:rFonts w:ascii="Arial" w:eastAsia="Calibri" w:hAnsi="Arial" w:cs="Arial"/>
        </w:rPr>
        <w:t xml:space="preserve">/2018 </w:t>
      </w:r>
      <w:r w:rsidR="00FF40F3" w:rsidRPr="00A3267F">
        <w:rPr>
          <w:rFonts w:ascii="Arial" w:eastAsia="Calibri" w:hAnsi="Arial" w:cs="Arial"/>
        </w:rPr>
        <w:t>é viável à tramitação.</w:t>
      </w:r>
    </w:p>
    <w:p w:rsidR="00A33CA8" w:rsidRPr="00A3267F" w:rsidRDefault="00A33CA8" w:rsidP="00A3267F">
      <w:pPr>
        <w:tabs>
          <w:tab w:val="left" w:pos="1701"/>
          <w:tab w:val="left" w:pos="5059"/>
        </w:tabs>
        <w:spacing w:line="240" w:lineRule="auto"/>
        <w:jc w:val="center"/>
        <w:rPr>
          <w:rFonts w:ascii="Arial" w:eastAsia="Calibri" w:hAnsi="Arial" w:cs="Arial"/>
        </w:rPr>
      </w:pPr>
      <w:r w:rsidRPr="00A3267F">
        <w:rPr>
          <w:rFonts w:ascii="Arial" w:eastAsia="Calibri" w:hAnsi="Arial" w:cs="Arial"/>
        </w:rPr>
        <w:t xml:space="preserve">Sala das Comissões, em </w:t>
      </w:r>
      <w:r w:rsidR="00D7060C">
        <w:rPr>
          <w:rFonts w:ascii="Arial" w:eastAsia="Calibri" w:hAnsi="Arial" w:cs="Arial"/>
        </w:rPr>
        <w:t>27</w:t>
      </w:r>
      <w:bookmarkStart w:id="2" w:name="_GoBack"/>
      <w:bookmarkEnd w:id="2"/>
      <w:r w:rsidRPr="00A3267F">
        <w:rPr>
          <w:rFonts w:ascii="Arial" w:eastAsia="Calibri" w:hAnsi="Arial" w:cs="Arial"/>
        </w:rPr>
        <w:t xml:space="preserve"> d</w:t>
      </w:r>
      <w:r w:rsidR="00F44B3F" w:rsidRPr="00A3267F">
        <w:rPr>
          <w:rFonts w:ascii="Arial" w:eastAsia="Calibri" w:hAnsi="Arial" w:cs="Arial"/>
        </w:rPr>
        <w:t xml:space="preserve">e </w:t>
      </w:r>
      <w:r w:rsidR="00A3267F" w:rsidRPr="00A3267F">
        <w:rPr>
          <w:rFonts w:ascii="Arial" w:eastAsia="Calibri" w:hAnsi="Arial" w:cs="Arial"/>
        </w:rPr>
        <w:t>setembro</w:t>
      </w:r>
      <w:r w:rsidRPr="00A3267F">
        <w:rPr>
          <w:rFonts w:ascii="Arial" w:eastAsia="Calibri" w:hAnsi="Arial" w:cs="Arial"/>
        </w:rPr>
        <w:t xml:space="preserve"> de 2018.</w:t>
      </w:r>
    </w:p>
    <w:p w:rsidR="00CD21ED" w:rsidRDefault="00CD21ED" w:rsidP="00A3267F">
      <w:pPr>
        <w:pStyle w:val="SemEspaamento"/>
        <w:ind w:firstLine="1701"/>
        <w:jc w:val="both"/>
        <w:rPr>
          <w:rFonts w:ascii="Arial" w:hAnsi="Arial" w:cs="Arial"/>
        </w:rPr>
      </w:pPr>
    </w:p>
    <w:p w:rsidR="00210A9B" w:rsidRDefault="00210A9B" w:rsidP="00210A9B">
      <w:pPr>
        <w:pStyle w:val="SemEspaamento"/>
        <w:jc w:val="center"/>
        <w:rPr>
          <w:rFonts w:ascii="Arial" w:hAnsi="Arial" w:cs="Arial"/>
        </w:rPr>
      </w:pPr>
    </w:p>
    <w:p w:rsidR="00210A9B" w:rsidRPr="00A3267F" w:rsidRDefault="00210A9B" w:rsidP="00210A9B">
      <w:pPr>
        <w:pStyle w:val="SemEspaamento"/>
        <w:jc w:val="center"/>
        <w:rPr>
          <w:rFonts w:ascii="Arial" w:hAnsi="Arial" w:cs="Arial"/>
        </w:rPr>
      </w:pPr>
      <w:r w:rsidRPr="00A3267F">
        <w:rPr>
          <w:rFonts w:ascii="Arial" w:hAnsi="Arial" w:cs="Arial"/>
        </w:rPr>
        <w:t>Ver. Professor Daniel</w:t>
      </w:r>
    </w:p>
    <w:p w:rsidR="00210A9B" w:rsidRPr="00A3267F" w:rsidRDefault="00210A9B" w:rsidP="00210A9B">
      <w:pPr>
        <w:pStyle w:val="SemEspaamento"/>
        <w:jc w:val="center"/>
        <w:rPr>
          <w:rFonts w:ascii="Arial" w:hAnsi="Arial" w:cs="Arial"/>
        </w:rPr>
      </w:pPr>
      <w:r w:rsidRPr="00A3267F">
        <w:rPr>
          <w:rFonts w:ascii="Arial" w:hAnsi="Arial" w:cs="Arial"/>
        </w:rPr>
        <w:t>Membro</w:t>
      </w:r>
    </w:p>
    <w:p w:rsidR="00A73030" w:rsidRPr="00A3267F" w:rsidRDefault="00C1302F" w:rsidP="00A3267F">
      <w:pPr>
        <w:pStyle w:val="SemEspaamento"/>
        <w:jc w:val="center"/>
        <w:rPr>
          <w:rFonts w:ascii="Arial" w:hAnsi="Arial" w:cs="Arial"/>
        </w:rPr>
      </w:pPr>
      <w:r w:rsidRPr="00A3267F">
        <w:rPr>
          <w:rFonts w:ascii="Arial" w:hAnsi="Arial" w:cs="Arial"/>
        </w:rPr>
        <w:t>Relator</w:t>
      </w:r>
    </w:p>
    <w:p w:rsidR="00487662" w:rsidRPr="00A3267F" w:rsidRDefault="00487662" w:rsidP="00A3267F">
      <w:pPr>
        <w:pStyle w:val="SemEspaamento"/>
        <w:jc w:val="center"/>
        <w:rPr>
          <w:rFonts w:ascii="Arial" w:hAnsi="Arial" w:cs="Arial"/>
        </w:rPr>
      </w:pPr>
      <w:r w:rsidRPr="00A3267F">
        <w:rPr>
          <w:rFonts w:ascii="Arial" w:hAnsi="Arial" w:cs="Arial"/>
        </w:rPr>
        <w:t>Acompanhando o voto d</w:t>
      </w:r>
      <w:r w:rsidR="00762785" w:rsidRPr="00A3267F">
        <w:rPr>
          <w:rFonts w:ascii="Arial" w:hAnsi="Arial" w:cs="Arial"/>
        </w:rPr>
        <w:t>o</w:t>
      </w:r>
      <w:r w:rsidRPr="00A3267F">
        <w:rPr>
          <w:rFonts w:ascii="Arial" w:hAnsi="Arial" w:cs="Arial"/>
        </w:rPr>
        <w:t xml:space="preserve"> relator:</w:t>
      </w:r>
    </w:p>
    <w:p w:rsidR="00210A9B" w:rsidRDefault="00210A9B" w:rsidP="00210A9B">
      <w:pPr>
        <w:pStyle w:val="SemEspaamento"/>
        <w:jc w:val="center"/>
        <w:rPr>
          <w:rFonts w:ascii="Arial" w:hAnsi="Arial" w:cs="Arial"/>
        </w:rPr>
      </w:pPr>
    </w:p>
    <w:p w:rsidR="00210A9B" w:rsidRDefault="00210A9B" w:rsidP="00210A9B">
      <w:pPr>
        <w:pStyle w:val="SemEspaamento"/>
        <w:jc w:val="center"/>
        <w:rPr>
          <w:rFonts w:ascii="Arial" w:hAnsi="Arial" w:cs="Arial"/>
        </w:rPr>
      </w:pPr>
    </w:p>
    <w:p w:rsidR="00210A9B" w:rsidRPr="00A3267F" w:rsidRDefault="00210A9B" w:rsidP="00210A9B">
      <w:pPr>
        <w:pStyle w:val="SemEspaamento"/>
        <w:jc w:val="center"/>
        <w:rPr>
          <w:rFonts w:ascii="Arial" w:hAnsi="Arial" w:cs="Arial"/>
        </w:rPr>
      </w:pPr>
      <w:r w:rsidRPr="00A3267F">
        <w:rPr>
          <w:rFonts w:ascii="Arial" w:hAnsi="Arial" w:cs="Arial"/>
        </w:rPr>
        <w:t>Ver. Ubiratã Oliveira</w:t>
      </w:r>
    </w:p>
    <w:p w:rsidR="00210A9B" w:rsidRPr="00A3267F" w:rsidRDefault="00210A9B" w:rsidP="00210A9B">
      <w:pPr>
        <w:pStyle w:val="SemEspaamento"/>
        <w:jc w:val="center"/>
        <w:rPr>
          <w:rFonts w:ascii="Arial" w:hAnsi="Arial" w:cs="Arial"/>
        </w:rPr>
      </w:pPr>
      <w:r w:rsidRPr="00A3267F">
        <w:rPr>
          <w:rFonts w:ascii="Arial" w:hAnsi="Arial" w:cs="Arial"/>
        </w:rPr>
        <w:t xml:space="preserve">Presidente  </w:t>
      </w:r>
    </w:p>
    <w:p w:rsidR="00847BC8" w:rsidRPr="00A3267F" w:rsidRDefault="00847BC8" w:rsidP="00A3267F">
      <w:pPr>
        <w:pStyle w:val="SemEspaamento"/>
        <w:jc w:val="center"/>
        <w:rPr>
          <w:rFonts w:ascii="Arial" w:hAnsi="Arial" w:cs="Arial"/>
        </w:rPr>
      </w:pPr>
    </w:p>
    <w:p w:rsidR="00A3267F" w:rsidRPr="00A3267F" w:rsidRDefault="00A3267F" w:rsidP="00A3267F">
      <w:pPr>
        <w:pStyle w:val="SemEspaamento"/>
        <w:jc w:val="center"/>
        <w:rPr>
          <w:rFonts w:ascii="Arial" w:hAnsi="Arial" w:cs="Arial"/>
        </w:rPr>
      </w:pPr>
    </w:p>
    <w:p w:rsidR="00B7738C" w:rsidRPr="00A3267F" w:rsidRDefault="000913E4" w:rsidP="00A3267F">
      <w:pPr>
        <w:pStyle w:val="SemEspaamento"/>
        <w:ind w:left="2832" w:firstLine="287"/>
        <w:rPr>
          <w:rFonts w:ascii="Arial" w:hAnsi="Arial" w:cs="Arial"/>
        </w:rPr>
      </w:pPr>
      <w:r w:rsidRPr="00A3267F">
        <w:rPr>
          <w:rFonts w:ascii="Arial" w:hAnsi="Arial" w:cs="Arial"/>
        </w:rPr>
        <w:t xml:space="preserve">Ver. </w:t>
      </w:r>
      <w:proofErr w:type="spellStart"/>
      <w:r w:rsidR="00DA2B80" w:rsidRPr="00A3267F">
        <w:rPr>
          <w:rFonts w:ascii="Arial" w:hAnsi="Arial" w:cs="Arial"/>
        </w:rPr>
        <w:t>Rosi</w:t>
      </w:r>
      <w:proofErr w:type="spellEnd"/>
      <w:r w:rsidR="00DA2B80" w:rsidRPr="00A3267F">
        <w:rPr>
          <w:rFonts w:ascii="Arial" w:hAnsi="Arial" w:cs="Arial"/>
        </w:rPr>
        <w:t xml:space="preserve"> </w:t>
      </w:r>
      <w:proofErr w:type="spellStart"/>
      <w:r w:rsidR="00DA2B80" w:rsidRPr="00A3267F">
        <w:rPr>
          <w:rFonts w:ascii="Arial" w:hAnsi="Arial" w:cs="Arial"/>
        </w:rPr>
        <w:t>Ecker</w:t>
      </w:r>
      <w:proofErr w:type="spellEnd"/>
      <w:r w:rsidR="00DA2B80" w:rsidRPr="00A3267F">
        <w:rPr>
          <w:rFonts w:ascii="Arial" w:hAnsi="Arial" w:cs="Arial"/>
        </w:rPr>
        <w:t xml:space="preserve"> Schmitt</w:t>
      </w:r>
    </w:p>
    <w:p w:rsidR="00A3267F" w:rsidRDefault="00A3267F" w:rsidP="00A3267F">
      <w:pPr>
        <w:pStyle w:val="SemEspaamento"/>
        <w:jc w:val="center"/>
        <w:rPr>
          <w:rFonts w:ascii="Arial" w:hAnsi="Arial" w:cs="Arial"/>
        </w:rPr>
      </w:pPr>
      <w:proofErr w:type="gramStart"/>
      <w:r w:rsidRPr="00A3267F">
        <w:rPr>
          <w:rFonts w:ascii="Arial" w:hAnsi="Arial" w:cs="Arial"/>
        </w:rPr>
        <w:t>Vice- Presidente</w:t>
      </w:r>
      <w:proofErr w:type="gramEnd"/>
    </w:p>
    <w:p w:rsidR="00437A11" w:rsidRDefault="00437A11" w:rsidP="00A3267F">
      <w:pPr>
        <w:pStyle w:val="SemEspaamento"/>
        <w:jc w:val="center"/>
        <w:rPr>
          <w:rFonts w:ascii="Arial" w:hAnsi="Arial" w:cs="Arial"/>
        </w:rPr>
      </w:pPr>
    </w:p>
    <w:p w:rsidR="00437A11" w:rsidRPr="00A3267F" w:rsidRDefault="00437A11" w:rsidP="00A3267F">
      <w:pPr>
        <w:pStyle w:val="SemEspaamento"/>
        <w:jc w:val="center"/>
        <w:rPr>
          <w:rFonts w:ascii="Arial" w:hAnsi="Arial" w:cs="Arial"/>
        </w:rPr>
      </w:pPr>
    </w:p>
    <w:p w:rsidR="001300B5" w:rsidRPr="00A3267F" w:rsidRDefault="001300B5" w:rsidP="00A3267F">
      <w:pPr>
        <w:pStyle w:val="SemEspaamento"/>
        <w:jc w:val="center"/>
        <w:rPr>
          <w:rFonts w:ascii="Arial" w:hAnsi="Arial" w:cs="Arial"/>
        </w:rPr>
      </w:pPr>
    </w:p>
    <w:p w:rsidR="00F80C88" w:rsidRPr="00A3267F" w:rsidRDefault="00F80C88" w:rsidP="00A3267F">
      <w:pPr>
        <w:pStyle w:val="SemEspaamento"/>
        <w:jc w:val="center"/>
        <w:rPr>
          <w:rFonts w:ascii="Arial" w:hAnsi="Arial" w:cs="Arial"/>
        </w:rPr>
      </w:pPr>
    </w:p>
    <w:p w:rsidR="00CD21ED" w:rsidRPr="00A3267F" w:rsidRDefault="00CD21ED" w:rsidP="00A3267F">
      <w:pPr>
        <w:pStyle w:val="SemEspaamento"/>
        <w:jc w:val="center"/>
        <w:rPr>
          <w:rFonts w:ascii="Arial" w:hAnsi="Arial" w:cs="Arial"/>
        </w:rPr>
      </w:pPr>
    </w:p>
    <w:sectPr w:rsidR="00CD21ED" w:rsidRPr="00A3267F"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D7060C" w:rsidRPr="00C820DC" w:rsidRDefault="00D7060C" w:rsidP="00D7060C">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D7060C" w:rsidRDefault="00D7060C" w:rsidP="00D7060C">
      <w:pPr>
        <w:pStyle w:val="Textodenotaderodap"/>
      </w:pPr>
    </w:p>
  </w:footnote>
  <w:footnote w:id="2">
    <w:p w:rsidR="00D7060C" w:rsidRPr="00B7411D" w:rsidRDefault="00D7060C" w:rsidP="00D7060C">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Pr>
          <w:rFonts w:ascii="Arial" w:hAnsi="Arial" w:cs="Arial"/>
          <w:i/>
          <w:color w:val="000000"/>
          <w:sz w:val="18"/>
          <w:szCs w:val="18"/>
        </w:rPr>
        <w:t xml:space="preserve"> </w:t>
      </w:r>
      <w:r w:rsidRPr="00B7411D">
        <w:rPr>
          <w:rFonts w:ascii="Arial" w:hAnsi="Arial" w:cs="Arial"/>
          <w:i/>
          <w:color w:val="000000"/>
          <w:sz w:val="18"/>
          <w:szCs w:val="18"/>
        </w:rPr>
        <w:t xml:space="preserve">I - o início de programas ou projetos não incluídos na lei orçamentária </w:t>
      </w:r>
      <w:proofErr w:type="spellStart"/>
      <w:proofErr w:type="gramStart"/>
      <w:r w:rsidRPr="00B7411D">
        <w:rPr>
          <w:rFonts w:ascii="Arial" w:hAnsi="Arial" w:cs="Arial"/>
          <w:i/>
          <w:color w:val="000000"/>
          <w:sz w:val="18"/>
          <w:szCs w:val="18"/>
        </w:rPr>
        <w:t>anual;II</w:t>
      </w:r>
      <w:proofErr w:type="spellEnd"/>
      <w:proofErr w:type="gramEnd"/>
      <w:r w:rsidRPr="00B7411D">
        <w:rPr>
          <w:rFonts w:ascii="Arial" w:hAnsi="Arial" w:cs="Arial"/>
          <w:i/>
          <w:color w:val="000000"/>
          <w:sz w:val="18"/>
          <w:szCs w:val="18"/>
        </w:rPr>
        <w:t xml:space="preserve"> - a concessão ou utilização de créditos ilimitados;</w:t>
      </w:r>
    </w:p>
    <w:p w:rsidR="00D7060C" w:rsidRDefault="00D7060C" w:rsidP="00D7060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65AA6"/>
    <w:rsid w:val="00271DF1"/>
    <w:rsid w:val="00272DE8"/>
    <w:rsid w:val="00285252"/>
    <w:rsid w:val="002A1785"/>
    <w:rsid w:val="002B031B"/>
    <w:rsid w:val="002C01A4"/>
    <w:rsid w:val="002C0A21"/>
    <w:rsid w:val="002C4E64"/>
    <w:rsid w:val="002E5DCE"/>
    <w:rsid w:val="002F3FFB"/>
    <w:rsid w:val="002F4284"/>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1EB7"/>
    <w:rsid w:val="00D53D88"/>
    <w:rsid w:val="00D557EC"/>
    <w:rsid w:val="00D55A68"/>
    <w:rsid w:val="00D56492"/>
    <w:rsid w:val="00D62A77"/>
    <w:rsid w:val="00D63174"/>
    <w:rsid w:val="00D7060C"/>
    <w:rsid w:val="00D7577F"/>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F904A5C"/>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3826-3EFB-42E0-A726-03A7DAA5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1097</Words>
  <Characters>5930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2018-09-25T18:59:00Z</dcterms:created>
  <dcterms:modified xsi:type="dcterms:W3CDTF">2018-09-25T19:02:00Z</dcterms:modified>
</cp:coreProperties>
</file>