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r w:rsidRPr="00657A12">
        <w:rPr>
          <w:rFonts w:ascii="Arial" w:eastAsia="Calibri" w:hAnsi="Arial" w:cs="Arial"/>
          <w:b/>
          <w:sz w:val="23"/>
          <w:szCs w:val="23"/>
        </w:rPr>
        <w:t xml:space="preserve">COMISSÃO DE </w:t>
      </w:r>
      <w:r w:rsidR="00B3151B" w:rsidRPr="00657A12">
        <w:rPr>
          <w:rFonts w:ascii="Arial" w:eastAsia="Calibri" w:hAnsi="Arial" w:cs="Arial"/>
          <w:b/>
          <w:sz w:val="23"/>
          <w:szCs w:val="23"/>
        </w:rPr>
        <w:t>ORÇAMENTO</w:t>
      </w:r>
      <w:r w:rsidR="00B3511A" w:rsidRPr="00657A12">
        <w:rPr>
          <w:rFonts w:ascii="Arial" w:eastAsia="Calibri" w:hAnsi="Arial" w:cs="Arial"/>
          <w:b/>
          <w:sz w:val="23"/>
          <w:szCs w:val="23"/>
        </w:rPr>
        <w:t>, FINANÇAS E CONTAS PÚBLICAS</w:t>
      </w:r>
    </w:p>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p>
    <w:p w:rsidR="000D3B3C" w:rsidRDefault="005A6315" w:rsidP="000D3B3C">
      <w:pPr>
        <w:tabs>
          <w:tab w:val="left" w:pos="2268"/>
          <w:tab w:val="left" w:pos="5059"/>
        </w:tabs>
        <w:spacing w:line="276" w:lineRule="auto"/>
        <w:jc w:val="both"/>
        <w:rPr>
          <w:rFonts w:ascii="Arial" w:eastAsia="Calibri" w:hAnsi="Arial" w:cs="Arial"/>
          <w:sz w:val="23"/>
          <w:szCs w:val="23"/>
        </w:rPr>
      </w:pPr>
      <w:r w:rsidRPr="005A6315">
        <w:rPr>
          <w:rFonts w:ascii="Arial" w:eastAsia="Calibri" w:hAnsi="Arial" w:cs="Arial"/>
          <w:b/>
          <w:sz w:val="23"/>
          <w:szCs w:val="23"/>
        </w:rPr>
        <w:t xml:space="preserve">Parecer: </w:t>
      </w:r>
      <w:r w:rsidR="00417B5E">
        <w:rPr>
          <w:rFonts w:ascii="Arial" w:eastAsia="Calibri" w:hAnsi="Arial" w:cs="Arial"/>
          <w:sz w:val="23"/>
          <w:szCs w:val="23"/>
        </w:rPr>
        <w:t>20</w:t>
      </w:r>
      <w:r w:rsidRPr="000D3B3C">
        <w:rPr>
          <w:rFonts w:ascii="Arial" w:eastAsia="Calibri" w:hAnsi="Arial" w:cs="Arial"/>
          <w:sz w:val="23"/>
          <w:szCs w:val="23"/>
        </w:rPr>
        <w:t>/2018</w:t>
      </w:r>
    </w:p>
    <w:p w:rsidR="000D3B3C" w:rsidRPr="0088510D" w:rsidRDefault="000D3B3C" w:rsidP="000D3B3C">
      <w:pPr>
        <w:tabs>
          <w:tab w:val="left" w:pos="2268"/>
          <w:tab w:val="left" w:pos="5059"/>
        </w:tabs>
        <w:spacing w:line="276" w:lineRule="auto"/>
        <w:jc w:val="both"/>
        <w:rPr>
          <w:rFonts w:ascii="Arial" w:hAnsi="Arial" w:cs="Arial"/>
          <w:sz w:val="23"/>
          <w:szCs w:val="23"/>
        </w:rPr>
      </w:pPr>
      <w:r w:rsidRPr="0088510D">
        <w:rPr>
          <w:rFonts w:ascii="Arial" w:hAnsi="Arial" w:cs="Arial"/>
          <w:b/>
          <w:sz w:val="23"/>
          <w:szCs w:val="23"/>
        </w:rPr>
        <w:t>Data:</w:t>
      </w:r>
      <w:r w:rsidRPr="0088510D">
        <w:rPr>
          <w:rFonts w:ascii="Arial" w:hAnsi="Arial" w:cs="Arial"/>
          <w:sz w:val="23"/>
          <w:szCs w:val="23"/>
        </w:rPr>
        <w:t xml:space="preserve"> </w:t>
      </w:r>
      <w:r w:rsidR="00417B5E">
        <w:rPr>
          <w:rFonts w:ascii="Arial" w:hAnsi="Arial" w:cs="Arial"/>
          <w:sz w:val="23"/>
          <w:szCs w:val="23"/>
        </w:rPr>
        <w:t>23</w:t>
      </w:r>
      <w:r w:rsidRPr="0088510D">
        <w:rPr>
          <w:rFonts w:ascii="Arial" w:hAnsi="Arial" w:cs="Arial"/>
          <w:sz w:val="23"/>
          <w:szCs w:val="23"/>
        </w:rPr>
        <w:t xml:space="preserve"> de </w:t>
      </w:r>
      <w:r w:rsidR="00417B5E">
        <w:rPr>
          <w:rFonts w:ascii="Arial" w:hAnsi="Arial" w:cs="Arial"/>
          <w:sz w:val="23"/>
          <w:szCs w:val="23"/>
        </w:rPr>
        <w:t xml:space="preserve">agosto </w:t>
      </w:r>
      <w:r w:rsidRPr="0088510D">
        <w:rPr>
          <w:rFonts w:ascii="Arial" w:hAnsi="Arial" w:cs="Arial"/>
          <w:sz w:val="23"/>
          <w:szCs w:val="23"/>
        </w:rPr>
        <w:t>de 2018</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Matéria:</w:t>
      </w:r>
      <w:r w:rsidR="00417B5E">
        <w:rPr>
          <w:rFonts w:ascii="Arial" w:hAnsi="Arial" w:cs="Arial"/>
          <w:sz w:val="23"/>
          <w:szCs w:val="23"/>
        </w:rPr>
        <w:t xml:space="preserve"> Projeto de </w:t>
      </w:r>
      <w:proofErr w:type="gramStart"/>
      <w:r w:rsidR="00417B5E">
        <w:rPr>
          <w:rFonts w:ascii="Arial" w:hAnsi="Arial" w:cs="Arial"/>
          <w:sz w:val="23"/>
          <w:szCs w:val="23"/>
        </w:rPr>
        <w:t>Ordinária nº</w:t>
      </w:r>
      <w:proofErr w:type="gramEnd"/>
      <w:r w:rsidR="00417B5E">
        <w:rPr>
          <w:rFonts w:ascii="Arial" w:hAnsi="Arial" w:cs="Arial"/>
          <w:sz w:val="23"/>
          <w:szCs w:val="23"/>
        </w:rPr>
        <w:t xml:space="preserve"> 040</w:t>
      </w:r>
      <w:r w:rsidRPr="0088510D">
        <w:rPr>
          <w:rFonts w:ascii="Arial" w:hAnsi="Arial" w:cs="Arial"/>
          <w:sz w:val="23"/>
          <w:szCs w:val="23"/>
        </w:rPr>
        <w:t xml:space="preserve">/2018 </w:t>
      </w:r>
    </w:p>
    <w:p w:rsidR="000D3B3C" w:rsidRPr="0088510D" w:rsidRDefault="000D3B3C" w:rsidP="000D3B3C">
      <w:pPr>
        <w:spacing w:after="0" w:line="276" w:lineRule="auto"/>
        <w:jc w:val="both"/>
        <w:rPr>
          <w:rFonts w:ascii="Arial" w:hAnsi="Arial" w:cs="Arial"/>
          <w:sz w:val="23"/>
          <w:szCs w:val="23"/>
        </w:rPr>
      </w:pPr>
      <w:r w:rsidRPr="0088510D">
        <w:rPr>
          <w:rFonts w:ascii="Arial" w:hAnsi="Arial" w:cs="Arial"/>
          <w:b/>
          <w:sz w:val="23"/>
          <w:szCs w:val="23"/>
        </w:rPr>
        <w:t>Ementa:</w:t>
      </w:r>
      <w:r w:rsidR="00417B5E">
        <w:rPr>
          <w:rFonts w:ascii="Arial" w:hAnsi="Arial" w:cs="Arial"/>
          <w:sz w:val="23"/>
          <w:szCs w:val="23"/>
        </w:rPr>
        <w:t xml:space="preserve"> </w:t>
      </w:r>
      <w:r w:rsidR="00417B5E" w:rsidRPr="001B2B4B">
        <w:rPr>
          <w:rFonts w:ascii="Arial" w:hAnsi="Arial" w:cs="Arial"/>
        </w:rPr>
        <w:t xml:space="preserve">O </w:t>
      </w:r>
      <w:r w:rsidR="00417B5E" w:rsidRPr="00553FA9">
        <w:rPr>
          <w:rFonts w:ascii="Arial" w:hAnsi="Arial" w:cs="Arial"/>
        </w:rPr>
        <w:t>Altera dispositivo da Lei Municipal nº 2.914, de 06 de maio de 2011 e dá outras providências</w:t>
      </w:r>
      <w:r w:rsidR="00417B5E">
        <w:rPr>
          <w:rFonts w:ascii="Arial" w:hAnsi="Arial" w:cs="Arial"/>
        </w:rPr>
        <w:t>.</w:t>
      </w:r>
    </w:p>
    <w:p w:rsidR="000D3B3C" w:rsidRPr="0088510D" w:rsidRDefault="000D3B3C" w:rsidP="000D3B3C">
      <w:pPr>
        <w:pStyle w:val="SemEspaamento"/>
        <w:spacing w:line="276" w:lineRule="auto"/>
        <w:jc w:val="both"/>
        <w:rPr>
          <w:rFonts w:ascii="Arial" w:hAnsi="Arial" w:cs="Arial"/>
          <w:bCs/>
          <w:sz w:val="23"/>
          <w:szCs w:val="23"/>
        </w:rPr>
      </w:pPr>
      <w:r w:rsidRPr="0088510D">
        <w:rPr>
          <w:rFonts w:ascii="Arial" w:hAnsi="Arial" w:cs="Arial"/>
          <w:b/>
          <w:sz w:val="23"/>
          <w:szCs w:val="23"/>
        </w:rPr>
        <w:t>Protocolo:</w:t>
      </w:r>
      <w:r w:rsidRPr="0088510D">
        <w:rPr>
          <w:rFonts w:ascii="Arial" w:hAnsi="Arial" w:cs="Arial"/>
          <w:sz w:val="23"/>
          <w:szCs w:val="23"/>
        </w:rPr>
        <w:t xml:space="preserve"> </w:t>
      </w:r>
      <w:r w:rsidR="00417B5E">
        <w:rPr>
          <w:rFonts w:ascii="Arial" w:hAnsi="Arial" w:cs="Arial"/>
          <w:sz w:val="23"/>
          <w:szCs w:val="23"/>
        </w:rPr>
        <w:t>17/08</w:t>
      </w:r>
      <w:r w:rsidRPr="0088510D">
        <w:rPr>
          <w:rFonts w:ascii="Arial" w:hAnsi="Arial" w:cs="Arial"/>
          <w:sz w:val="23"/>
          <w:szCs w:val="23"/>
        </w:rPr>
        <w:t>/2018</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Autor:</w:t>
      </w:r>
      <w:r w:rsidRPr="0088510D">
        <w:rPr>
          <w:rFonts w:ascii="Arial" w:hAnsi="Arial" w:cs="Arial"/>
          <w:sz w:val="23"/>
          <w:szCs w:val="23"/>
        </w:rPr>
        <w:t xml:space="preserve"> Poder Executivo</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Relator:</w:t>
      </w:r>
      <w:r w:rsidRPr="0088510D">
        <w:rPr>
          <w:rFonts w:ascii="Arial" w:hAnsi="Arial" w:cs="Arial"/>
          <w:sz w:val="23"/>
          <w:szCs w:val="23"/>
        </w:rPr>
        <w:t xml:space="preserve"> Vereador </w:t>
      </w: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proofErr w:type="spellEnd"/>
      <w:r w:rsidRPr="0088510D">
        <w:rPr>
          <w:rFonts w:ascii="Arial" w:hAnsi="Arial" w:cs="Arial"/>
          <w:sz w:val="23"/>
          <w:szCs w:val="23"/>
        </w:rPr>
        <w:t xml:space="preserve">             </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Conclusão do Voto:</w:t>
      </w:r>
      <w:r w:rsidRPr="0088510D">
        <w:rPr>
          <w:rFonts w:ascii="Arial" w:hAnsi="Arial" w:cs="Arial"/>
          <w:sz w:val="23"/>
          <w:szCs w:val="23"/>
        </w:rPr>
        <w:t xml:space="preserve"> favorável à tramitação da matéria</w:t>
      </w:r>
    </w:p>
    <w:p w:rsidR="000D3B3C" w:rsidRPr="0088510D" w:rsidRDefault="000D3B3C" w:rsidP="000D3B3C">
      <w:pPr>
        <w:pStyle w:val="SemEspaamento"/>
        <w:spacing w:line="276" w:lineRule="auto"/>
        <w:jc w:val="both"/>
        <w:rPr>
          <w:rFonts w:ascii="Arial" w:hAnsi="Arial" w:cs="Arial"/>
          <w:sz w:val="23"/>
          <w:szCs w:val="23"/>
        </w:rPr>
      </w:pPr>
    </w:p>
    <w:p w:rsidR="000D3B3C" w:rsidRPr="0088510D" w:rsidRDefault="000D3B3C" w:rsidP="000D3B3C">
      <w:pPr>
        <w:pStyle w:val="SemEspaamento"/>
        <w:spacing w:line="276" w:lineRule="auto"/>
        <w:jc w:val="center"/>
        <w:rPr>
          <w:rFonts w:ascii="Arial" w:hAnsi="Arial" w:cs="Arial"/>
          <w:b/>
          <w:sz w:val="23"/>
          <w:szCs w:val="23"/>
        </w:rPr>
      </w:pPr>
      <w:r w:rsidRPr="0088510D">
        <w:rPr>
          <w:rFonts w:ascii="Arial" w:hAnsi="Arial" w:cs="Arial"/>
          <w:b/>
          <w:sz w:val="23"/>
          <w:szCs w:val="23"/>
        </w:rPr>
        <w:t>Relatório:</w:t>
      </w:r>
    </w:p>
    <w:p w:rsidR="000D3B3C" w:rsidRPr="0088510D" w:rsidRDefault="000D3B3C" w:rsidP="00302F5C">
      <w:pPr>
        <w:pStyle w:val="SemEspaamento"/>
        <w:spacing w:line="276" w:lineRule="auto"/>
        <w:ind w:left="2268" w:hanging="2268"/>
        <w:jc w:val="center"/>
        <w:rPr>
          <w:rFonts w:ascii="Arial" w:hAnsi="Arial" w:cs="Arial"/>
          <w:b/>
          <w:sz w:val="23"/>
          <w:szCs w:val="23"/>
        </w:rPr>
      </w:pPr>
    </w:p>
    <w:p w:rsidR="00417B5E" w:rsidRDefault="00417B5E" w:rsidP="00302F5C">
      <w:pPr>
        <w:pStyle w:val="SemEspaamento"/>
        <w:ind w:firstLine="2268"/>
        <w:jc w:val="both"/>
        <w:rPr>
          <w:rFonts w:ascii="Arial" w:hAnsi="Arial" w:cs="Arial"/>
        </w:rPr>
      </w:pPr>
      <w:r w:rsidRPr="001B2B4B">
        <w:rPr>
          <w:rFonts w:ascii="Arial" w:hAnsi="Arial" w:cs="Arial"/>
        </w:rPr>
        <w:t xml:space="preserve">Foi encaminhado </w:t>
      </w:r>
      <w:r>
        <w:rPr>
          <w:rFonts w:ascii="Arial" w:hAnsi="Arial" w:cs="Arial"/>
        </w:rPr>
        <w:t xml:space="preserve">a </w:t>
      </w:r>
      <w:r w:rsidRPr="001B2B4B">
        <w:rPr>
          <w:rFonts w:ascii="Arial" w:hAnsi="Arial" w:cs="Arial"/>
        </w:rPr>
        <w:t>esta Casa,</w:t>
      </w:r>
      <w:r w:rsidR="00302F5C" w:rsidRPr="001B2B4B">
        <w:rPr>
          <w:rFonts w:ascii="Arial" w:hAnsi="Arial" w:cs="Arial"/>
        </w:rPr>
        <w:t xml:space="preserve"> </w:t>
      </w:r>
      <w:r w:rsidRPr="001B2B4B">
        <w:rPr>
          <w:rFonts w:ascii="Arial" w:hAnsi="Arial" w:cs="Arial"/>
        </w:rPr>
        <w:t xml:space="preserve">o Projeto de Lei nº </w:t>
      </w:r>
      <w:r>
        <w:rPr>
          <w:rFonts w:ascii="Arial" w:hAnsi="Arial" w:cs="Arial"/>
        </w:rPr>
        <w:t>40</w:t>
      </w:r>
      <w:r w:rsidRPr="001B2B4B">
        <w:rPr>
          <w:rFonts w:ascii="Arial" w:hAnsi="Arial" w:cs="Arial"/>
        </w:rPr>
        <w:t xml:space="preserve">/2018, de autoria do Executivo Municipal, protocolado em </w:t>
      </w:r>
      <w:r>
        <w:rPr>
          <w:rFonts w:ascii="Arial" w:hAnsi="Arial" w:cs="Arial"/>
        </w:rPr>
        <w:t>17</w:t>
      </w:r>
      <w:r w:rsidRPr="001B2B4B">
        <w:rPr>
          <w:rFonts w:ascii="Arial" w:hAnsi="Arial" w:cs="Arial"/>
        </w:rPr>
        <w:t>/0</w:t>
      </w:r>
      <w:r>
        <w:rPr>
          <w:rFonts w:ascii="Arial" w:hAnsi="Arial" w:cs="Arial"/>
        </w:rPr>
        <w:t>8</w:t>
      </w:r>
      <w:r w:rsidRPr="001B2B4B">
        <w:rPr>
          <w:rFonts w:ascii="Arial" w:hAnsi="Arial" w:cs="Arial"/>
        </w:rPr>
        <w:t>/2018</w:t>
      </w:r>
      <w:r w:rsidR="00302F5C">
        <w:rPr>
          <w:rFonts w:ascii="Arial" w:hAnsi="Arial" w:cs="Arial"/>
        </w:rPr>
        <w:t xml:space="preserve">, </w:t>
      </w:r>
      <w:r w:rsidRPr="001B2B4B">
        <w:rPr>
          <w:rFonts w:ascii="Arial" w:hAnsi="Arial" w:cs="Arial"/>
        </w:rPr>
        <w:t xml:space="preserve">que requer autorização legislativa para </w:t>
      </w:r>
      <w:r w:rsidRPr="00553FA9">
        <w:rPr>
          <w:rFonts w:ascii="Arial" w:hAnsi="Arial" w:cs="Arial"/>
        </w:rPr>
        <w:t>conceder promoção por escolaridade aos servidores lotados no cargo de Operador de Máquina Pesada.</w:t>
      </w:r>
      <w:r>
        <w:rPr>
          <w:rFonts w:ascii="Arial" w:hAnsi="Arial" w:cs="Arial"/>
        </w:rPr>
        <w:t xml:space="preserve"> </w:t>
      </w:r>
      <w:r w:rsidRPr="00553FA9">
        <w:rPr>
          <w:rFonts w:ascii="Arial" w:hAnsi="Arial" w:cs="Arial"/>
        </w:rPr>
        <w:t>Aduz o proponente, na justificativa, que a presente propositura está motivada em reivindicação de equiparação salarial por parte de servidores lotados no cargo de operador de máquina pesada, em razão de desequilíbrio salarial no mesmo cargo, decorrente de alterações na lei nº 2.914 quanto aos requisitos de instrução exigidos para provimento do cargo, visto que a lei exigiu em determinada época, formação em ensino fundamental para o concurso, e em data posterior a lei foi alterada para reduzir a exigência de escolaridade para 4ª série do ensino fundamental. Desta forma, aqueles servidores que ingressaram sem exigência de ensino fundamental, tão logo alcançaram tal escolaridade foram contemplados com a gratificação de 10%, decorrente de “promoção por escolaridade”, com base no art. 10, § 1º da Lei 2.914/2011. Todavia, aqueles que ingressaram no concurso quando a lei ainda exigia o ensino fundamental completo para o provimento do cargo, já</w:t>
      </w:r>
      <w:proofErr w:type="gramStart"/>
      <w:r w:rsidRPr="00553FA9">
        <w:rPr>
          <w:rFonts w:ascii="Arial" w:hAnsi="Arial" w:cs="Arial"/>
        </w:rPr>
        <w:t xml:space="preserve"> </w:t>
      </w:r>
      <w:r w:rsidR="00302F5C">
        <w:rPr>
          <w:rFonts w:ascii="Arial" w:hAnsi="Arial" w:cs="Arial"/>
        </w:rPr>
        <w:t xml:space="preserve"> </w:t>
      </w:r>
      <w:proofErr w:type="gramEnd"/>
      <w:r w:rsidRPr="00553FA9">
        <w:rPr>
          <w:rFonts w:ascii="Arial" w:hAnsi="Arial" w:cs="Arial"/>
        </w:rPr>
        <w:t>ingressaram com esta exigência, ou seja, não puder</w:t>
      </w:r>
      <w:r w:rsidR="00302F5C">
        <w:rPr>
          <w:rFonts w:ascii="Arial" w:hAnsi="Arial" w:cs="Arial"/>
        </w:rPr>
        <w:t xml:space="preserve">am se valer desta formação para </w:t>
      </w:r>
      <w:r w:rsidRPr="00553FA9">
        <w:rPr>
          <w:rFonts w:ascii="Arial" w:hAnsi="Arial" w:cs="Arial"/>
        </w:rPr>
        <w:t xml:space="preserve">obter o adicional de 10%. Informa, por conseguinte, que a gratificação proposta neste PL alcançará apenas os operadores de máquinas que foram admitidos até a republicação da lei municipal nº 3.467/2016. Faz acompanhar ao PL a estimativa de impacto orçamentário e financeiro, estimando despesa mensal prevista que alcançará valor mensal de R$ 3.198,00 em 2018, estimando a despesa neste exercício em R$ 15.990,00, ficando para 2019 em despesa anual de R$ 41.566,00 e em 2020 em R$ 45.724,00. A despesa com pessoal estima o percentual de comprometimento de 47,86% na repercussão com despesa de pessoal. Requer tramitação em Regime de Urgência, o que estabelece prazo de 07(sete) dias para emissão dos pareceres nas comissões, e prazo de até 30(trinta) dias para incluir na Ordem do Dia, em conformidade com art. 62, II, </w:t>
      </w:r>
      <w:proofErr w:type="gramStart"/>
      <w:r w:rsidRPr="00553FA9">
        <w:rPr>
          <w:rFonts w:ascii="Arial" w:hAnsi="Arial" w:cs="Arial"/>
        </w:rPr>
        <w:t>RI</w:t>
      </w:r>
      <w:proofErr w:type="gramEnd"/>
    </w:p>
    <w:p w:rsidR="00417B5E" w:rsidRDefault="00417B5E" w:rsidP="00417B5E">
      <w:pPr>
        <w:pStyle w:val="SemEspaamento"/>
        <w:jc w:val="both"/>
        <w:rPr>
          <w:rFonts w:ascii="Arial" w:hAnsi="Arial" w:cs="Arial"/>
        </w:rPr>
      </w:pPr>
    </w:p>
    <w:p w:rsidR="00417B5E" w:rsidRPr="001B2B4B" w:rsidRDefault="00417B5E" w:rsidP="00417B5E">
      <w:pPr>
        <w:spacing w:line="276" w:lineRule="auto"/>
        <w:ind w:firstLine="1701"/>
        <w:jc w:val="both"/>
        <w:rPr>
          <w:rFonts w:ascii="Arial" w:hAnsi="Arial" w:cs="Arial"/>
        </w:rPr>
      </w:pPr>
      <w:r w:rsidRPr="001B2B4B">
        <w:rPr>
          <w:rFonts w:ascii="Arial" w:hAnsi="Arial" w:cs="Arial"/>
        </w:rPr>
        <w:t xml:space="preserve">O projeto já foi analisado pela Procuradora Geral da Casa, a qual proferiu Orientação Jurídica nº </w:t>
      </w:r>
      <w:r>
        <w:rPr>
          <w:rFonts w:ascii="Arial" w:hAnsi="Arial" w:cs="Arial"/>
        </w:rPr>
        <w:t>60</w:t>
      </w:r>
      <w:r w:rsidRPr="001B2B4B">
        <w:rPr>
          <w:rFonts w:ascii="Arial" w:hAnsi="Arial" w:cs="Arial"/>
        </w:rPr>
        <w:t>/2018, favorável à tramitação</w:t>
      </w:r>
      <w:r w:rsidRPr="001B2B4B">
        <w:rPr>
          <w:rFonts w:ascii="Arial" w:hAnsi="Arial" w:cs="Arial"/>
          <w:b/>
        </w:rPr>
        <w:t xml:space="preserve"> </w:t>
      </w:r>
      <w:r w:rsidRPr="001B2B4B">
        <w:rPr>
          <w:rFonts w:ascii="Arial" w:hAnsi="Arial" w:cs="Arial"/>
        </w:rPr>
        <w:t xml:space="preserve">do PL </w:t>
      </w:r>
      <w:r>
        <w:rPr>
          <w:rFonts w:ascii="Arial" w:hAnsi="Arial" w:cs="Arial"/>
        </w:rPr>
        <w:t>40</w:t>
      </w:r>
      <w:r w:rsidRPr="001B2B4B">
        <w:rPr>
          <w:rFonts w:ascii="Arial" w:hAnsi="Arial" w:cs="Arial"/>
        </w:rPr>
        <w:t>/2018,</w:t>
      </w:r>
      <w:r w:rsidRPr="001B2B4B">
        <w:t xml:space="preserve"> </w:t>
      </w:r>
      <w:r w:rsidRPr="00302F5C">
        <w:rPr>
          <w:rFonts w:ascii="Arial" w:hAnsi="Arial" w:cs="Arial"/>
        </w:rPr>
        <w:t>vez que</w:t>
      </w:r>
      <w:r w:rsidRPr="001B2B4B">
        <w:t xml:space="preserve"> </w:t>
      </w:r>
      <w:r w:rsidRPr="001B2B4B">
        <w:rPr>
          <w:rFonts w:ascii="Arial" w:hAnsi="Arial" w:cs="Arial"/>
        </w:rPr>
        <w:lastRenderedPageBreak/>
        <w:t>atende as normas legais impostas, estando presentes a legalidade e constitucionalidade.</w:t>
      </w:r>
      <w:r w:rsidRPr="001B2B4B">
        <w:rPr>
          <w:rFonts w:ascii="Arial" w:hAnsi="Arial" w:cs="Arial"/>
          <w:bCs/>
        </w:rPr>
        <w:t xml:space="preserve"> </w:t>
      </w:r>
      <w:r w:rsidRPr="001B2B4B">
        <w:rPr>
          <w:rFonts w:ascii="Arial" w:hAnsi="Arial" w:cs="Arial"/>
        </w:rPr>
        <w:t>Tal orientação jurídica embasa a elaboração do presente parecer.</w:t>
      </w:r>
    </w:p>
    <w:p w:rsidR="000D3B3C" w:rsidRDefault="000D3B3C" w:rsidP="00A37F74">
      <w:pPr>
        <w:tabs>
          <w:tab w:val="left" w:pos="2268"/>
          <w:tab w:val="left" w:pos="5059"/>
        </w:tabs>
        <w:spacing w:line="276" w:lineRule="auto"/>
        <w:jc w:val="both"/>
        <w:rPr>
          <w:rFonts w:ascii="Arial" w:eastAsia="Calibri" w:hAnsi="Arial" w:cs="Arial"/>
          <w:b/>
          <w:sz w:val="23"/>
          <w:szCs w:val="23"/>
        </w:rPr>
      </w:pPr>
    </w:p>
    <w:p w:rsidR="000E2A67" w:rsidRDefault="00487662" w:rsidP="00E036E7">
      <w:pPr>
        <w:pStyle w:val="SemEspaamento"/>
        <w:spacing w:line="276" w:lineRule="auto"/>
        <w:jc w:val="center"/>
        <w:rPr>
          <w:rFonts w:ascii="Arial" w:hAnsi="Arial" w:cs="Arial"/>
          <w:sz w:val="23"/>
          <w:szCs w:val="23"/>
        </w:rPr>
      </w:pPr>
      <w:r w:rsidRPr="00657A12">
        <w:rPr>
          <w:rFonts w:ascii="Arial" w:hAnsi="Arial" w:cs="Arial"/>
          <w:sz w:val="23"/>
          <w:szCs w:val="23"/>
        </w:rPr>
        <w:t>Análise</w:t>
      </w:r>
      <w:r w:rsidR="000E2A67" w:rsidRPr="00657A12">
        <w:rPr>
          <w:rFonts w:ascii="Arial" w:hAnsi="Arial" w:cs="Arial"/>
          <w:sz w:val="23"/>
          <w:szCs w:val="23"/>
        </w:rPr>
        <w:t>:</w:t>
      </w:r>
    </w:p>
    <w:p w:rsidR="00657A12" w:rsidRPr="00657A12" w:rsidRDefault="00657A12" w:rsidP="00E036E7">
      <w:pPr>
        <w:pStyle w:val="SemEspaamento"/>
        <w:spacing w:line="276" w:lineRule="auto"/>
        <w:jc w:val="center"/>
        <w:rPr>
          <w:rFonts w:ascii="Arial" w:hAnsi="Arial" w:cs="Arial"/>
          <w:sz w:val="23"/>
          <w:szCs w:val="23"/>
        </w:rPr>
      </w:pPr>
    </w:p>
    <w:p w:rsidR="000E2A67" w:rsidRPr="00657A12"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 xml:space="preserve">I – Quanto à área de </w:t>
      </w:r>
      <w:r w:rsidR="00B3511A" w:rsidRPr="00657A12">
        <w:rPr>
          <w:rFonts w:ascii="Arial" w:hAnsi="Arial" w:cs="Arial"/>
          <w:b/>
          <w:sz w:val="23"/>
          <w:szCs w:val="23"/>
        </w:rPr>
        <w:t>Orçamento e Finanças</w:t>
      </w:r>
    </w:p>
    <w:p w:rsidR="000E2A67"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Art. 5</w:t>
      </w:r>
      <w:r w:rsidR="00B3511A" w:rsidRPr="00657A12">
        <w:rPr>
          <w:rFonts w:ascii="Arial" w:hAnsi="Arial" w:cs="Arial"/>
          <w:b/>
          <w:sz w:val="23"/>
          <w:szCs w:val="23"/>
        </w:rPr>
        <w:t>5</w:t>
      </w:r>
      <w:r w:rsidRPr="00657A12">
        <w:rPr>
          <w:rFonts w:ascii="Arial" w:hAnsi="Arial" w:cs="Arial"/>
          <w:b/>
          <w:sz w:val="23"/>
          <w:szCs w:val="23"/>
        </w:rPr>
        <w:t>, I</w:t>
      </w:r>
      <w:r w:rsidR="00B3511A" w:rsidRPr="00657A12">
        <w:rPr>
          <w:rFonts w:ascii="Arial" w:hAnsi="Arial" w:cs="Arial"/>
          <w:b/>
          <w:sz w:val="23"/>
          <w:szCs w:val="23"/>
        </w:rPr>
        <w:t xml:space="preserve"> e II</w:t>
      </w:r>
      <w:r w:rsidRPr="00657A12">
        <w:rPr>
          <w:rFonts w:ascii="Arial" w:hAnsi="Arial" w:cs="Arial"/>
          <w:b/>
          <w:sz w:val="23"/>
          <w:szCs w:val="23"/>
        </w:rPr>
        <w:t>, do Regimento Interno desta Casa:</w:t>
      </w:r>
    </w:p>
    <w:p w:rsidR="00A37F74" w:rsidRPr="00657A12" w:rsidRDefault="00A37F74" w:rsidP="00E036E7">
      <w:pPr>
        <w:pStyle w:val="SemEspaamento"/>
        <w:spacing w:line="276" w:lineRule="auto"/>
        <w:rPr>
          <w:rFonts w:ascii="Arial" w:hAnsi="Arial" w:cs="Arial"/>
          <w:b/>
          <w:sz w:val="23"/>
          <w:szCs w:val="23"/>
        </w:rPr>
      </w:pPr>
    </w:p>
    <w:p w:rsidR="00302F5C" w:rsidRPr="00B8661C" w:rsidRDefault="00302F5C" w:rsidP="00302F5C">
      <w:pPr>
        <w:pStyle w:val="SemEspaamento"/>
        <w:ind w:firstLine="2268"/>
        <w:jc w:val="both"/>
        <w:rPr>
          <w:rFonts w:ascii="Arial" w:hAnsi="Arial" w:cs="Arial"/>
          <w:color w:val="000000"/>
        </w:rPr>
      </w:pPr>
      <w:r w:rsidRPr="00B8661C">
        <w:rPr>
          <w:rFonts w:ascii="Arial" w:hAnsi="Arial" w:cs="Arial"/>
          <w:color w:val="000000"/>
        </w:rPr>
        <w:t>O projeto versa sobre concessão de gratificação por promoção por escolaridade, aos servidores lotados no cargo de Operador de Máquina Pesada, admitidos no quadro geral de servidores até a republicação da lei nº 3.467/201</w:t>
      </w:r>
      <w:r>
        <w:rPr>
          <w:rFonts w:ascii="Arial" w:hAnsi="Arial" w:cs="Arial"/>
          <w:color w:val="000000"/>
        </w:rPr>
        <w:t>5</w:t>
      </w:r>
      <w:r w:rsidRPr="00B8661C">
        <w:rPr>
          <w:rFonts w:ascii="Arial" w:hAnsi="Arial" w:cs="Arial"/>
          <w:color w:val="000000"/>
        </w:rPr>
        <w:t xml:space="preserve">. </w:t>
      </w:r>
    </w:p>
    <w:p w:rsidR="00302F5C" w:rsidRDefault="00302F5C" w:rsidP="00302F5C">
      <w:pPr>
        <w:pStyle w:val="SemEspaamento"/>
        <w:jc w:val="both"/>
        <w:rPr>
          <w:rFonts w:ascii="Arial" w:hAnsi="Arial" w:cs="Arial"/>
          <w:sz w:val="23"/>
          <w:szCs w:val="23"/>
        </w:rPr>
      </w:pP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Entretanto, a concessão deste benefício, ainda que apenas para 11(onze) servidores, conforme informa o Executivo, terá impacto no exercício e nos seguintes, por tratar-se de despesa de caráter permanente. </w:t>
      </w:r>
    </w:p>
    <w:p w:rsidR="00302F5C" w:rsidRDefault="00302F5C" w:rsidP="00302F5C">
      <w:pPr>
        <w:pStyle w:val="SemEspaamento"/>
        <w:jc w:val="both"/>
        <w:rPr>
          <w:rFonts w:ascii="Arial" w:hAnsi="Arial" w:cs="Arial"/>
          <w:sz w:val="23"/>
          <w:szCs w:val="23"/>
        </w:rPr>
      </w:pP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Desta forma, tal dispêndio é considerado aumento de despesa com pessoal, sendo necessário </w:t>
      </w:r>
      <w:proofErr w:type="gramStart"/>
      <w:r w:rsidRPr="00417B5E">
        <w:rPr>
          <w:rFonts w:ascii="Arial" w:hAnsi="Arial" w:cs="Arial"/>
          <w:sz w:val="23"/>
          <w:szCs w:val="23"/>
        </w:rPr>
        <w:t>observar-se</w:t>
      </w:r>
      <w:proofErr w:type="gramEnd"/>
      <w:r w:rsidRPr="00417B5E">
        <w:rPr>
          <w:rFonts w:ascii="Arial" w:hAnsi="Arial" w:cs="Arial"/>
          <w:sz w:val="23"/>
          <w:szCs w:val="23"/>
        </w:rPr>
        <w:t xml:space="preserve"> os limites da despesa e a capacidade financeira e orçamentária para sua implementação, especialmente as despesas de caráter continuado.  </w:t>
      </w:r>
    </w:p>
    <w:p w:rsidR="00417B5E" w:rsidRPr="00417B5E" w:rsidRDefault="00417B5E" w:rsidP="00302F5C">
      <w:pPr>
        <w:pStyle w:val="SemEspaamento"/>
        <w:jc w:val="both"/>
        <w:rPr>
          <w:rFonts w:ascii="Arial" w:hAnsi="Arial" w:cs="Arial"/>
          <w:sz w:val="23"/>
          <w:szCs w:val="23"/>
        </w:rPr>
      </w:pPr>
      <w:r w:rsidRPr="00417B5E">
        <w:rPr>
          <w:rFonts w:ascii="Arial" w:hAnsi="Arial" w:cs="Arial"/>
          <w:sz w:val="23"/>
          <w:szCs w:val="23"/>
        </w:rPr>
        <w:t xml:space="preserve"> </w:t>
      </w: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Neste cenário, imprescindível se observa o que dispõe a LC 101/2000 – Lei de responsabilidade Fiscal, que segue: </w:t>
      </w:r>
    </w:p>
    <w:p w:rsidR="00302F5C" w:rsidRDefault="00302F5C" w:rsidP="00302F5C">
      <w:pPr>
        <w:pStyle w:val="SemEspaamento"/>
        <w:jc w:val="both"/>
        <w:rPr>
          <w:rFonts w:ascii="Arial" w:hAnsi="Arial" w:cs="Arial"/>
          <w:sz w:val="23"/>
          <w:szCs w:val="23"/>
        </w:rPr>
      </w:pP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Art. 17. Considera-se obrigatória de caráter continuado a despesa corrente derivada de lei, medida provisória ou ato administrativo normativo que fixem para o ente a obrigação legal de sua execução por um período superior a dois exercícios. </w:t>
      </w: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                                                                                                                    </w:t>
      </w:r>
      <w:r w:rsidR="00302F5C">
        <w:rPr>
          <w:rFonts w:ascii="Arial" w:hAnsi="Arial" w:cs="Arial"/>
          <w:sz w:val="23"/>
          <w:szCs w:val="23"/>
        </w:rPr>
        <w:t xml:space="preserve">                              </w:t>
      </w:r>
      <w:bookmarkStart w:id="0" w:name="_GoBack"/>
      <w:bookmarkEnd w:id="0"/>
      <w:r w:rsidRPr="00417B5E">
        <w:rPr>
          <w:rFonts w:ascii="Arial" w:hAnsi="Arial" w:cs="Arial"/>
          <w:sz w:val="23"/>
          <w:szCs w:val="23"/>
        </w:rPr>
        <w:t xml:space="preserve">§ 1o Os atos que criarem ou aumentarem despesa de que trata o caput deverão ser instruídos com a estimativa prevista no inciso I do art. 16 e demonstrar a origem dos recursos para seu custeio. </w:t>
      </w:r>
    </w:p>
    <w:p w:rsidR="00417B5E" w:rsidRDefault="00417B5E" w:rsidP="00302F5C">
      <w:pPr>
        <w:pStyle w:val="SemEspaamento"/>
        <w:jc w:val="both"/>
        <w:rPr>
          <w:rFonts w:ascii="Arial" w:hAnsi="Arial" w:cs="Arial"/>
          <w:sz w:val="23"/>
          <w:szCs w:val="23"/>
        </w:rPr>
      </w:pPr>
      <w:r w:rsidRPr="00417B5E">
        <w:rPr>
          <w:rFonts w:ascii="Arial" w:hAnsi="Arial" w:cs="Arial"/>
          <w:sz w:val="23"/>
          <w:szCs w:val="23"/>
        </w:rPr>
        <w:t xml:space="preserve">§ 2o Para efeito do atendimento do § 1o, o ato será acompanhado de comprovação de que a despesa criada ou aumentada não afetará as metas de resultados fiscais previstas no anexo referido no § 1o do art. 4o, devendo seus efeitos financeiros, nos períodos seguintes, ser </w:t>
      </w:r>
      <w:proofErr w:type="gramStart"/>
      <w:r w:rsidRPr="00417B5E">
        <w:rPr>
          <w:rFonts w:ascii="Arial" w:hAnsi="Arial" w:cs="Arial"/>
          <w:sz w:val="23"/>
          <w:szCs w:val="23"/>
        </w:rPr>
        <w:t>compensados</w:t>
      </w:r>
      <w:proofErr w:type="gramEnd"/>
      <w:r w:rsidRPr="00417B5E">
        <w:rPr>
          <w:rFonts w:ascii="Arial" w:hAnsi="Arial" w:cs="Arial"/>
          <w:sz w:val="23"/>
          <w:szCs w:val="23"/>
        </w:rPr>
        <w:t xml:space="preserve"> pelo aumento permanente de receita ou pela redução permanente de despesa. </w:t>
      </w:r>
    </w:p>
    <w:p w:rsidR="00417B5E" w:rsidRPr="00417B5E" w:rsidRDefault="00417B5E" w:rsidP="00302F5C">
      <w:pPr>
        <w:pStyle w:val="SemEspaamento"/>
        <w:jc w:val="both"/>
        <w:rPr>
          <w:rFonts w:ascii="Arial" w:hAnsi="Arial" w:cs="Arial"/>
          <w:sz w:val="23"/>
          <w:szCs w:val="23"/>
        </w:rPr>
      </w:pPr>
    </w:p>
    <w:p w:rsidR="00417B5E" w:rsidRPr="00417B5E" w:rsidRDefault="00417B5E" w:rsidP="00302F5C">
      <w:pPr>
        <w:pStyle w:val="SemEspaamento"/>
        <w:ind w:firstLine="2268"/>
        <w:jc w:val="both"/>
        <w:rPr>
          <w:rFonts w:ascii="Arial" w:hAnsi="Arial" w:cs="Arial"/>
          <w:sz w:val="23"/>
          <w:szCs w:val="23"/>
        </w:rPr>
      </w:pPr>
      <w:r w:rsidRPr="00417B5E">
        <w:rPr>
          <w:rFonts w:ascii="Arial" w:hAnsi="Arial" w:cs="Arial"/>
          <w:sz w:val="23"/>
          <w:szCs w:val="23"/>
        </w:rPr>
        <w:t xml:space="preserve">No caso concreto, observamos que o acompanhamento do impacto orçamentário e financeiro, assinado pelo Secretário Adjunto da Fazenda e o contador do município, demonstrando a despesa prevista para o exercício vigente e os dois seguintes com a implementação deste benefício, alcançará pouco mais de 40 mil/ano, o que está dentro dos limites constitucionais admitidos, demonstrando capacidade financeira e orçamentária do município para o seu </w:t>
      </w:r>
      <w:proofErr w:type="gramStart"/>
      <w:r w:rsidRPr="00417B5E">
        <w:rPr>
          <w:rFonts w:ascii="Arial" w:hAnsi="Arial" w:cs="Arial"/>
          <w:sz w:val="23"/>
          <w:szCs w:val="23"/>
        </w:rPr>
        <w:t>implemento</w:t>
      </w:r>
      <w:proofErr w:type="gramEnd"/>
      <w:r w:rsidRPr="00417B5E">
        <w:rPr>
          <w:rFonts w:ascii="Arial" w:hAnsi="Arial" w:cs="Arial"/>
          <w:sz w:val="23"/>
          <w:szCs w:val="23"/>
        </w:rPr>
        <w:t xml:space="preserve">, estimando impacto de 47,86% na despesa com pessoal projetada </w:t>
      </w:r>
      <w:proofErr w:type="gramStart"/>
      <w:r w:rsidRPr="00417B5E">
        <w:rPr>
          <w:rFonts w:ascii="Arial" w:hAnsi="Arial" w:cs="Arial"/>
          <w:sz w:val="23"/>
          <w:szCs w:val="23"/>
        </w:rPr>
        <w:lastRenderedPageBreak/>
        <w:t>para</w:t>
      </w:r>
      <w:proofErr w:type="gramEnd"/>
      <w:r w:rsidRPr="00417B5E">
        <w:rPr>
          <w:rFonts w:ascii="Arial" w:hAnsi="Arial" w:cs="Arial"/>
          <w:sz w:val="23"/>
          <w:szCs w:val="23"/>
        </w:rPr>
        <w:t xml:space="preserve"> o final do exercício corrente, o que está dentro dos limites constitucionais admitidos para despesa com pessoal. </w:t>
      </w:r>
    </w:p>
    <w:p w:rsidR="00417B5E" w:rsidRPr="00417B5E" w:rsidRDefault="00417B5E" w:rsidP="00417B5E">
      <w:pPr>
        <w:pStyle w:val="SemEspaamento"/>
        <w:jc w:val="center"/>
        <w:rPr>
          <w:rFonts w:ascii="Arial" w:hAnsi="Arial" w:cs="Arial"/>
          <w:sz w:val="23"/>
          <w:szCs w:val="23"/>
        </w:rPr>
      </w:pPr>
      <w:r w:rsidRPr="00417B5E">
        <w:rPr>
          <w:rFonts w:ascii="Arial" w:hAnsi="Arial" w:cs="Arial"/>
          <w:sz w:val="23"/>
          <w:szCs w:val="23"/>
        </w:rPr>
        <w:t xml:space="preserve"> </w:t>
      </w:r>
    </w:p>
    <w:p w:rsidR="00657A12" w:rsidRDefault="00657A12" w:rsidP="0017741D">
      <w:pPr>
        <w:pStyle w:val="SemEspaamento"/>
        <w:jc w:val="center"/>
        <w:rPr>
          <w:rFonts w:ascii="Arial" w:hAnsi="Arial" w:cs="Arial"/>
          <w:sz w:val="23"/>
          <w:szCs w:val="23"/>
        </w:rPr>
      </w:pPr>
    </w:p>
    <w:p w:rsidR="00487662" w:rsidRPr="0017741D" w:rsidRDefault="00487662" w:rsidP="00E036E7">
      <w:pPr>
        <w:pStyle w:val="SemEspaamento"/>
        <w:spacing w:line="276" w:lineRule="auto"/>
        <w:jc w:val="center"/>
        <w:rPr>
          <w:rFonts w:ascii="Arial" w:hAnsi="Arial" w:cs="Arial"/>
          <w:sz w:val="24"/>
          <w:szCs w:val="24"/>
        </w:rPr>
      </w:pPr>
      <w:r w:rsidRPr="0017741D">
        <w:rPr>
          <w:rFonts w:ascii="Arial" w:hAnsi="Arial" w:cs="Arial"/>
          <w:sz w:val="24"/>
          <w:szCs w:val="24"/>
        </w:rPr>
        <w:t>Conclusão do Voto:</w:t>
      </w:r>
    </w:p>
    <w:p w:rsidR="00657A12" w:rsidRPr="0017741D" w:rsidRDefault="00657A12" w:rsidP="00E036E7">
      <w:pPr>
        <w:pStyle w:val="SemEspaamento"/>
        <w:spacing w:line="276" w:lineRule="auto"/>
        <w:jc w:val="center"/>
        <w:rPr>
          <w:rFonts w:ascii="Arial" w:hAnsi="Arial" w:cs="Arial"/>
          <w:sz w:val="24"/>
          <w:szCs w:val="24"/>
        </w:rPr>
      </w:pPr>
    </w:p>
    <w:p w:rsidR="0036296C" w:rsidRPr="00302F5C" w:rsidRDefault="00487662" w:rsidP="00326AB4">
      <w:pPr>
        <w:pStyle w:val="SemEspaamento"/>
        <w:spacing w:line="276" w:lineRule="auto"/>
        <w:ind w:firstLine="2268"/>
        <w:jc w:val="both"/>
        <w:rPr>
          <w:rFonts w:ascii="Arial" w:hAnsi="Arial" w:cs="Arial"/>
          <w:sz w:val="23"/>
          <w:szCs w:val="23"/>
        </w:rPr>
      </w:pPr>
      <w:r w:rsidRPr="00302F5C">
        <w:rPr>
          <w:rFonts w:ascii="Arial" w:hAnsi="Arial" w:cs="Arial"/>
          <w:sz w:val="23"/>
          <w:szCs w:val="23"/>
        </w:rPr>
        <w:t xml:space="preserve">Diante dos fundamentos legais e constitucionais expostos, com fundamento </w:t>
      </w:r>
      <w:r w:rsidR="0036296C" w:rsidRPr="00302F5C">
        <w:rPr>
          <w:rFonts w:ascii="Arial" w:hAnsi="Arial" w:cs="Arial"/>
          <w:sz w:val="23"/>
          <w:szCs w:val="23"/>
        </w:rPr>
        <w:t>na Orientação Jurídica</w:t>
      </w:r>
      <w:r w:rsidRPr="00302F5C">
        <w:rPr>
          <w:rFonts w:ascii="Arial" w:hAnsi="Arial" w:cs="Arial"/>
          <w:sz w:val="23"/>
          <w:szCs w:val="23"/>
        </w:rPr>
        <w:t xml:space="preserve"> da Procuradora Geral desta Casa, esta Relatoria, depois de debate realizado na Comissão, disponibiliza o presente voto concluindo </w:t>
      </w:r>
      <w:r w:rsidR="006272BC" w:rsidRPr="00302F5C">
        <w:rPr>
          <w:rFonts w:ascii="Arial" w:hAnsi="Arial" w:cs="Arial"/>
          <w:sz w:val="23"/>
          <w:szCs w:val="23"/>
        </w:rPr>
        <w:t xml:space="preserve">que o PL </w:t>
      </w:r>
      <w:r w:rsidR="00417B5E" w:rsidRPr="00302F5C">
        <w:rPr>
          <w:rFonts w:ascii="Arial" w:hAnsi="Arial" w:cs="Arial"/>
          <w:sz w:val="23"/>
          <w:szCs w:val="23"/>
        </w:rPr>
        <w:t>40</w:t>
      </w:r>
      <w:r w:rsidR="006272BC" w:rsidRPr="00302F5C">
        <w:rPr>
          <w:rFonts w:ascii="Arial" w:hAnsi="Arial" w:cs="Arial"/>
          <w:sz w:val="23"/>
          <w:szCs w:val="23"/>
        </w:rPr>
        <w:t>/201</w:t>
      </w:r>
      <w:r w:rsidR="0036296C" w:rsidRPr="00302F5C">
        <w:rPr>
          <w:rFonts w:ascii="Arial" w:hAnsi="Arial" w:cs="Arial"/>
          <w:sz w:val="23"/>
          <w:szCs w:val="23"/>
        </w:rPr>
        <w:t>8</w:t>
      </w:r>
      <w:r w:rsidR="006272BC" w:rsidRPr="00302F5C">
        <w:rPr>
          <w:rFonts w:ascii="Arial" w:hAnsi="Arial" w:cs="Arial"/>
          <w:sz w:val="23"/>
          <w:szCs w:val="23"/>
        </w:rPr>
        <w:t xml:space="preserve"> </w:t>
      </w:r>
      <w:r w:rsidR="00B3511A" w:rsidRPr="00302F5C">
        <w:rPr>
          <w:rFonts w:ascii="Arial" w:hAnsi="Arial" w:cs="Arial"/>
          <w:sz w:val="23"/>
          <w:szCs w:val="23"/>
        </w:rPr>
        <w:t>é</w:t>
      </w:r>
      <w:r w:rsidR="00E46210" w:rsidRPr="00302F5C">
        <w:rPr>
          <w:rFonts w:ascii="Arial" w:hAnsi="Arial" w:cs="Arial"/>
          <w:sz w:val="23"/>
          <w:szCs w:val="23"/>
        </w:rPr>
        <w:t xml:space="preserve"> viável a tramitação</w:t>
      </w:r>
      <w:r w:rsidR="00762785" w:rsidRPr="00302F5C">
        <w:rPr>
          <w:rFonts w:ascii="Arial" w:hAnsi="Arial" w:cs="Arial"/>
          <w:sz w:val="23"/>
          <w:szCs w:val="23"/>
        </w:rPr>
        <w:t>.</w:t>
      </w:r>
    </w:p>
    <w:p w:rsidR="0017741D" w:rsidRPr="00302F5C" w:rsidRDefault="0017741D" w:rsidP="00326AB4">
      <w:pPr>
        <w:pStyle w:val="SemEspaamento"/>
        <w:spacing w:line="276" w:lineRule="auto"/>
        <w:ind w:firstLine="2268"/>
        <w:jc w:val="both"/>
        <w:rPr>
          <w:rFonts w:ascii="Arial" w:hAnsi="Arial" w:cs="Arial"/>
          <w:sz w:val="23"/>
          <w:szCs w:val="23"/>
        </w:rPr>
      </w:pPr>
    </w:p>
    <w:p w:rsidR="00487662" w:rsidRPr="00302F5C" w:rsidRDefault="006272BC" w:rsidP="00E036E7">
      <w:pPr>
        <w:pStyle w:val="SemEspaamento"/>
        <w:spacing w:line="276" w:lineRule="auto"/>
        <w:rPr>
          <w:rFonts w:ascii="Arial" w:hAnsi="Arial" w:cs="Arial"/>
          <w:sz w:val="23"/>
          <w:szCs w:val="23"/>
        </w:rPr>
      </w:pPr>
      <w:r w:rsidRPr="00302F5C">
        <w:rPr>
          <w:rFonts w:ascii="Arial" w:hAnsi="Arial" w:cs="Arial"/>
          <w:sz w:val="23"/>
          <w:szCs w:val="23"/>
        </w:rPr>
        <w:tab/>
      </w:r>
      <w:r w:rsidR="00326AB4" w:rsidRPr="00302F5C">
        <w:rPr>
          <w:rFonts w:ascii="Arial" w:hAnsi="Arial" w:cs="Arial"/>
          <w:sz w:val="23"/>
          <w:szCs w:val="23"/>
        </w:rPr>
        <w:tab/>
      </w:r>
      <w:r w:rsidR="00326AB4" w:rsidRPr="00302F5C">
        <w:rPr>
          <w:rFonts w:ascii="Arial" w:hAnsi="Arial" w:cs="Arial"/>
          <w:sz w:val="23"/>
          <w:szCs w:val="23"/>
        </w:rPr>
        <w:tab/>
      </w:r>
      <w:r w:rsidR="00487662" w:rsidRPr="00302F5C">
        <w:rPr>
          <w:rFonts w:ascii="Arial" w:hAnsi="Arial" w:cs="Arial"/>
          <w:sz w:val="23"/>
          <w:szCs w:val="23"/>
        </w:rPr>
        <w:t xml:space="preserve">Sala das Comissões, em </w:t>
      </w:r>
      <w:r w:rsidR="00302F5C">
        <w:rPr>
          <w:rFonts w:ascii="Arial" w:hAnsi="Arial" w:cs="Arial"/>
          <w:sz w:val="23"/>
          <w:szCs w:val="23"/>
        </w:rPr>
        <w:t xml:space="preserve">23 </w:t>
      </w:r>
      <w:r w:rsidR="00487662" w:rsidRPr="00302F5C">
        <w:rPr>
          <w:rFonts w:ascii="Arial" w:hAnsi="Arial" w:cs="Arial"/>
          <w:sz w:val="23"/>
          <w:szCs w:val="23"/>
        </w:rPr>
        <w:t xml:space="preserve">de </w:t>
      </w:r>
      <w:r w:rsidR="00302F5C">
        <w:rPr>
          <w:rFonts w:ascii="Arial" w:hAnsi="Arial" w:cs="Arial"/>
          <w:sz w:val="23"/>
          <w:szCs w:val="23"/>
        </w:rPr>
        <w:t>agosto</w:t>
      </w:r>
      <w:r w:rsidR="00487662" w:rsidRPr="00302F5C">
        <w:rPr>
          <w:rFonts w:ascii="Arial" w:hAnsi="Arial" w:cs="Arial"/>
          <w:sz w:val="23"/>
          <w:szCs w:val="23"/>
        </w:rPr>
        <w:t xml:space="preserve"> de 201</w:t>
      </w:r>
      <w:r w:rsidR="00762785" w:rsidRPr="00302F5C">
        <w:rPr>
          <w:rFonts w:ascii="Arial" w:hAnsi="Arial" w:cs="Arial"/>
          <w:sz w:val="23"/>
          <w:szCs w:val="23"/>
        </w:rPr>
        <w:t>8</w:t>
      </w:r>
      <w:r w:rsidR="00487662" w:rsidRPr="00302F5C">
        <w:rPr>
          <w:rFonts w:ascii="Arial" w:hAnsi="Arial" w:cs="Arial"/>
          <w:sz w:val="23"/>
          <w:szCs w:val="23"/>
        </w:rPr>
        <w:t>.</w:t>
      </w:r>
    </w:p>
    <w:p w:rsidR="00DB6013" w:rsidRPr="00302F5C" w:rsidRDefault="00DB6013" w:rsidP="00E036E7">
      <w:pPr>
        <w:pStyle w:val="SemEspaamento"/>
        <w:spacing w:line="276" w:lineRule="auto"/>
        <w:rPr>
          <w:rFonts w:ascii="Arial" w:hAnsi="Arial" w:cs="Arial"/>
          <w:sz w:val="23"/>
          <w:szCs w:val="23"/>
        </w:rPr>
      </w:pPr>
    </w:p>
    <w:p w:rsidR="003C5778" w:rsidRPr="00302F5C" w:rsidRDefault="003C5778" w:rsidP="00E036E7">
      <w:pPr>
        <w:pStyle w:val="SemEspaamento"/>
        <w:spacing w:line="276" w:lineRule="auto"/>
        <w:rPr>
          <w:rFonts w:ascii="Times New Roman" w:hAnsi="Times New Roman" w:cs="Times New Roman"/>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Relator</w:t>
      </w:r>
    </w:p>
    <w:p w:rsidR="003C5778" w:rsidRDefault="000C4E46" w:rsidP="003C5778">
      <w:pPr>
        <w:pStyle w:val="SemEspaamento"/>
        <w:spacing w:line="276" w:lineRule="auto"/>
        <w:jc w:val="center"/>
        <w:rPr>
          <w:rFonts w:ascii="Arial" w:hAnsi="Arial" w:cs="Arial"/>
          <w:sz w:val="23"/>
          <w:szCs w:val="23"/>
        </w:rPr>
      </w:pP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proofErr w:type="spellEnd"/>
    </w:p>
    <w:p w:rsidR="0017741D" w:rsidRPr="0017741D" w:rsidRDefault="0017741D"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Acompanhando o voto d</w:t>
      </w:r>
      <w:r w:rsidR="00762785" w:rsidRPr="0017741D">
        <w:rPr>
          <w:rFonts w:ascii="Arial" w:hAnsi="Arial" w:cs="Arial"/>
          <w:sz w:val="23"/>
          <w:szCs w:val="23"/>
        </w:rPr>
        <w:t>o</w:t>
      </w:r>
      <w:r w:rsidRPr="0017741D">
        <w:rPr>
          <w:rFonts w:ascii="Arial" w:hAnsi="Arial" w:cs="Arial"/>
          <w:sz w:val="23"/>
          <w:szCs w:val="23"/>
        </w:rPr>
        <w:t xml:space="preserve"> relator:</w:t>
      </w:r>
    </w:p>
    <w:p w:rsidR="00487662" w:rsidRPr="0017741D" w:rsidRDefault="00487662"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Presidente</w:t>
      </w:r>
    </w:p>
    <w:p w:rsidR="00487662" w:rsidRPr="0017741D" w:rsidRDefault="003C5778" w:rsidP="003C5778">
      <w:pPr>
        <w:pStyle w:val="SemEspaamento"/>
        <w:spacing w:line="276" w:lineRule="auto"/>
        <w:jc w:val="center"/>
        <w:rPr>
          <w:rFonts w:ascii="Arial" w:hAnsi="Arial" w:cs="Arial"/>
          <w:sz w:val="23"/>
          <w:szCs w:val="23"/>
        </w:rPr>
      </w:pPr>
      <w:r w:rsidRPr="0017741D">
        <w:rPr>
          <w:rFonts w:ascii="Arial" w:hAnsi="Arial" w:cs="Arial"/>
          <w:sz w:val="23"/>
          <w:szCs w:val="23"/>
        </w:rPr>
        <w:t>Volnei da Saúde</w:t>
      </w:r>
    </w:p>
    <w:p w:rsidR="003C5778" w:rsidRPr="0017741D" w:rsidRDefault="003C5778"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Vice-Presidente</w:t>
      </w:r>
    </w:p>
    <w:p w:rsidR="003C5778" w:rsidRPr="0017741D" w:rsidRDefault="000C4E46" w:rsidP="003C5778">
      <w:pPr>
        <w:pStyle w:val="SemEspaamento"/>
        <w:spacing w:line="276" w:lineRule="auto"/>
        <w:jc w:val="center"/>
        <w:rPr>
          <w:rFonts w:ascii="Arial" w:hAnsi="Arial" w:cs="Arial"/>
          <w:sz w:val="23"/>
          <w:szCs w:val="23"/>
        </w:rPr>
      </w:pPr>
      <w:r>
        <w:rPr>
          <w:rFonts w:ascii="Arial" w:hAnsi="Arial" w:cs="Arial"/>
          <w:sz w:val="23"/>
          <w:szCs w:val="23"/>
        </w:rPr>
        <w:t xml:space="preserve">Everton </w:t>
      </w:r>
      <w:proofErr w:type="spellStart"/>
      <w:r>
        <w:rPr>
          <w:rFonts w:ascii="Arial" w:hAnsi="Arial" w:cs="Arial"/>
          <w:sz w:val="23"/>
          <w:szCs w:val="23"/>
        </w:rPr>
        <w:t>Michaelsen</w:t>
      </w:r>
      <w:proofErr w:type="spellEnd"/>
    </w:p>
    <w:sectPr w:rsidR="003C5778" w:rsidRPr="0017741D"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6AA0"/>
    <w:rsid w:val="00087178"/>
    <w:rsid w:val="00087544"/>
    <w:rsid w:val="00096B9A"/>
    <w:rsid w:val="000B17DF"/>
    <w:rsid w:val="000B4CCA"/>
    <w:rsid w:val="000C4E46"/>
    <w:rsid w:val="000C6254"/>
    <w:rsid w:val="000D06C5"/>
    <w:rsid w:val="000D335C"/>
    <w:rsid w:val="000D3B3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A1785"/>
    <w:rsid w:val="002C01A4"/>
    <w:rsid w:val="002C4E64"/>
    <w:rsid w:val="002E5DCE"/>
    <w:rsid w:val="00302F5C"/>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17B5E"/>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57A12"/>
    <w:rsid w:val="006636B8"/>
    <w:rsid w:val="00666143"/>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5F08"/>
    <w:rsid w:val="00A079E9"/>
    <w:rsid w:val="00A07E4D"/>
    <w:rsid w:val="00A17016"/>
    <w:rsid w:val="00A23722"/>
    <w:rsid w:val="00A30312"/>
    <w:rsid w:val="00A37F74"/>
    <w:rsid w:val="00A45180"/>
    <w:rsid w:val="00A54E5D"/>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876CB"/>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28AE"/>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9DA01-A7D4-4E53-AA7D-12BE3C98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4871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3</cp:revision>
  <cp:lastPrinted>2018-01-12T10:42:00Z</cp:lastPrinted>
  <dcterms:created xsi:type="dcterms:W3CDTF">2018-08-22T17:01:00Z</dcterms:created>
  <dcterms:modified xsi:type="dcterms:W3CDTF">2018-08-22T19:27:00Z</dcterms:modified>
</cp:coreProperties>
</file>