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E77BEA" w:rsidRDefault="00487662" w:rsidP="00E036E7">
      <w:pPr>
        <w:tabs>
          <w:tab w:val="left" w:pos="1418"/>
          <w:tab w:val="left" w:pos="5059"/>
        </w:tabs>
        <w:spacing w:line="276" w:lineRule="auto"/>
        <w:jc w:val="center"/>
        <w:rPr>
          <w:rFonts w:ascii="Arial" w:eastAsia="Calibri" w:hAnsi="Arial" w:cs="Arial"/>
          <w:b/>
        </w:rPr>
      </w:pPr>
      <w:r w:rsidRPr="00E77BEA">
        <w:rPr>
          <w:rFonts w:ascii="Arial" w:eastAsia="Calibri" w:hAnsi="Arial" w:cs="Arial"/>
          <w:b/>
        </w:rPr>
        <w:t xml:space="preserve">COMISSÃO DE </w:t>
      </w:r>
      <w:r w:rsidR="00B3151B" w:rsidRPr="00E77BEA">
        <w:rPr>
          <w:rFonts w:ascii="Arial" w:eastAsia="Calibri" w:hAnsi="Arial" w:cs="Arial"/>
          <w:b/>
        </w:rPr>
        <w:t>ORÇAMENTO</w:t>
      </w:r>
      <w:r w:rsidR="00B3511A" w:rsidRPr="00E77BEA">
        <w:rPr>
          <w:rFonts w:ascii="Arial" w:eastAsia="Calibri" w:hAnsi="Arial" w:cs="Arial"/>
          <w:b/>
        </w:rPr>
        <w:t>, FINANÇAS E CONTAS PÚBLICAS</w:t>
      </w:r>
    </w:p>
    <w:p w:rsidR="00487662" w:rsidRPr="00E77BEA" w:rsidRDefault="00487662" w:rsidP="00E036E7">
      <w:pPr>
        <w:tabs>
          <w:tab w:val="left" w:pos="1418"/>
          <w:tab w:val="left" w:pos="5059"/>
        </w:tabs>
        <w:spacing w:line="276" w:lineRule="auto"/>
        <w:jc w:val="center"/>
        <w:rPr>
          <w:rFonts w:ascii="Arial" w:eastAsia="Calibri" w:hAnsi="Arial" w:cs="Arial"/>
          <w:b/>
        </w:rPr>
      </w:pPr>
    </w:p>
    <w:p w:rsidR="005A6315" w:rsidRPr="00E77BEA" w:rsidRDefault="005A6315" w:rsidP="005A6315">
      <w:pPr>
        <w:tabs>
          <w:tab w:val="left" w:pos="2268"/>
          <w:tab w:val="left" w:pos="5059"/>
        </w:tabs>
        <w:spacing w:line="276" w:lineRule="auto"/>
        <w:jc w:val="both"/>
        <w:rPr>
          <w:rFonts w:ascii="Arial" w:eastAsia="Calibri" w:hAnsi="Arial" w:cs="Arial"/>
          <w:b/>
        </w:rPr>
      </w:pPr>
      <w:r w:rsidRPr="00E77BEA">
        <w:rPr>
          <w:rFonts w:ascii="Arial" w:eastAsia="Calibri" w:hAnsi="Arial" w:cs="Arial"/>
          <w:b/>
        </w:rPr>
        <w:t xml:space="preserve">Parecer: </w:t>
      </w:r>
      <w:r w:rsidR="00AE741A" w:rsidRPr="00E77BEA">
        <w:rPr>
          <w:rFonts w:ascii="Arial" w:eastAsia="Calibri" w:hAnsi="Arial" w:cs="Arial"/>
          <w:b/>
        </w:rPr>
        <w:t>1</w:t>
      </w:r>
      <w:r w:rsidR="00E77BEA" w:rsidRPr="00E77BEA">
        <w:rPr>
          <w:rFonts w:ascii="Arial" w:eastAsia="Calibri" w:hAnsi="Arial" w:cs="Arial"/>
          <w:b/>
        </w:rPr>
        <w:t>2</w:t>
      </w:r>
      <w:r w:rsidRPr="00E77BEA">
        <w:rPr>
          <w:rFonts w:ascii="Arial" w:eastAsia="Calibri" w:hAnsi="Arial" w:cs="Arial"/>
          <w:b/>
        </w:rPr>
        <w:t>/2018</w:t>
      </w:r>
    </w:p>
    <w:p w:rsidR="005A6315" w:rsidRPr="00E77BEA" w:rsidRDefault="005A6315" w:rsidP="005A6315">
      <w:pPr>
        <w:tabs>
          <w:tab w:val="left" w:pos="2268"/>
          <w:tab w:val="left" w:pos="5059"/>
        </w:tabs>
        <w:spacing w:line="276" w:lineRule="auto"/>
        <w:jc w:val="both"/>
        <w:rPr>
          <w:rFonts w:ascii="Arial" w:eastAsia="Calibri" w:hAnsi="Arial" w:cs="Arial"/>
          <w:b/>
        </w:rPr>
      </w:pPr>
      <w:r w:rsidRPr="00E77BEA">
        <w:rPr>
          <w:rFonts w:ascii="Arial" w:eastAsia="Calibri" w:hAnsi="Arial" w:cs="Arial"/>
          <w:b/>
        </w:rPr>
        <w:t xml:space="preserve">Data: </w:t>
      </w:r>
      <w:r w:rsidR="00E77BEA" w:rsidRPr="00E77BEA">
        <w:rPr>
          <w:rFonts w:ascii="Arial" w:eastAsia="Calibri" w:hAnsi="Arial" w:cs="Arial"/>
          <w:b/>
        </w:rPr>
        <w:t>21</w:t>
      </w:r>
      <w:r w:rsidRPr="00E77BEA">
        <w:rPr>
          <w:rFonts w:ascii="Arial" w:eastAsia="Calibri" w:hAnsi="Arial" w:cs="Arial"/>
          <w:b/>
        </w:rPr>
        <w:t xml:space="preserve"> de </w:t>
      </w:r>
      <w:r w:rsidR="006311E8" w:rsidRPr="00E77BEA">
        <w:rPr>
          <w:rFonts w:ascii="Arial" w:eastAsia="Calibri" w:hAnsi="Arial" w:cs="Arial"/>
          <w:b/>
        </w:rPr>
        <w:t>junho</w:t>
      </w:r>
      <w:r w:rsidRPr="00E77BEA">
        <w:rPr>
          <w:rFonts w:ascii="Arial" w:eastAsia="Calibri" w:hAnsi="Arial" w:cs="Arial"/>
          <w:b/>
        </w:rPr>
        <w:t xml:space="preserve"> de 2018</w:t>
      </w:r>
    </w:p>
    <w:p w:rsidR="005A6315" w:rsidRPr="00E77BEA" w:rsidRDefault="005A6315" w:rsidP="005A6315">
      <w:pPr>
        <w:tabs>
          <w:tab w:val="left" w:pos="2268"/>
          <w:tab w:val="left" w:pos="5059"/>
        </w:tabs>
        <w:spacing w:line="276" w:lineRule="auto"/>
        <w:jc w:val="both"/>
        <w:rPr>
          <w:rFonts w:ascii="Arial" w:eastAsia="Calibri" w:hAnsi="Arial" w:cs="Arial"/>
          <w:b/>
        </w:rPr>
      </w:pPr>
      <w:r w:rsidRPr="00E77BEA">
        <w:rPr>
          <w:rFonts w:ascii="Arial" w:eastAsia="Calibri" w:hAnsi="Arial" w:cs="Arial"/>
          <w:b/>
        </w:rPr>
        <w:t>Matéria: Projeto de Ordinária nº 0</w:t>
      </w:r>
      <w:r w:rsidR="00AE741A" w:rsidRPr="00E77BEA">
        <w:rPr>
          <w:rFonts w:ascii="Arial" w:eastAsia="Calibri" w:hAnsi="Arial" w:cs="Arial"/>
          <w:b/>
        </w:rPr>
        <w:t>2</w:t>
      </w:r>
      <w:r w:rsidR="00E77BEA" w:rsidRPr="00E77BEA">
        <w:rPr>
          <w:rFonts w:ascii="Arial" w:eastAsia="Calibri" w:hAnsi="Arial" w:cs="Arial"/>
          <w:b/>
        </w:rPr>
        <w:t>1</w:t>
      </w:r>
      <w:r w:rsidRPr="00E77BEA">
        <w:rPr>
          <w:rFonts w:ascii="Arial" w:eastAsia="Calibri" w:hAnsi="Arial" w:cs="Arial"/>
          <w:b/>
        </w:rPr>
        <w:t xml:space="preserve">/2018 </w:t>
      </w:r>
    </w:p>
    <w:p w:rsidR="00E77BEA" w:rsidRPr="00E77BEA" w:rsidRDefault="005A6315" w:rsidP="00E77BEA">
      <w:pPr>
        <w:tabs>
          <w:tab w:val="left" w:pos="2268"/>
          <w:tab w:val="left" w:pos="5059"/>
        </w:tabs>
        <w:spacing w:line="276" w:lineRule="auto"/>
        <w:jc w:val="both"/>
        <w:rPr>
          <w:rFonts w:ascii="Arial" w:eastAsia="Calibri" w:hAnsi="Arial" w:cs="Arial"/>
          <w:b/>
        </w:rPr>
      </w:pPr>
      <w:r w:rsidRPr="00E77BEA">
        <w:rPr>
          <w:rFonts w:ascii="Arial" w:eastAsia="Calibri" w:hAnsi="Arial" w:cs="Arial"/>
          <w:b/>
        </w:rPr>
        <w:t xml:space="preserve">Ementa: </w:t>
      </w:r>
      <w:r w:rsidR="00E77BEA" w:rsidRPr="00E77BEA">
        <w:rPr>
          <w:rFonts w:ascii="Arial" w:eastAsia="Calibri" w:hAnsi="Arial" w:cs="Arial"/>
          <w:b/>
        </w:rPr>
        <w:t>Autoriza o Executivo Municipal a conceder a remissão de Dívida Tributária referente ao imposto de propriedade predial e territorial urbana – IPTU, dos Centros de Feiras e Eventos, e dá outras providencias.</w:t>
      </w:r>
    </w:p>
    <w:p w:rsidR="005A6315" w:rsidRPr="00E77BEA" w:rsidRDefault="005A6315" w:rsidP="005A6315">
      <w:pPr>
        <w:tabs>
          <w:tab w:val="left" w:pos="2268"/>
          <w:tab w:val="left" w:pos="5059"/>
        </w:tabs>
        <w:spacing w:line="276" w:lineRule="auto"/>
        <w:jc w:val="both"/>
        <w:rPr>
          <w:rFonts w:ascii="Arial" w:eastAsia="Calibri" w:hAnsi="Arial" w:cs="Arial"/>
          <w:b/>
          <w:bCs/>
        </w:rPr>
      </w:pPr>
      <w:r w:rsidRPr="00E77BEA">
        <w:rPr>
          <w:rFonts w:ascii="Arial" w:eastAsia="Calibri" w:hAnsi="Arial" w:cs="Arial"/>
          <w:b/>
        </w:rPr>
        <w:t xml:space="preserve">Protocolo: </w:t>
      </w:r>
      <w:r w:rsidR="00AE741A" w:rsidRPr="00E77BEA">
        <w:rPr>
          <w:rFonts w:ascii="Arial" w:eastAsia="Calibri" w:hAnsi="Arial" w:cs="Arial"/>
          <w:b/>
        </w:rPr>
        <w:t>0</w:t>
      </w:r>
      <w:r w:rsidR="00E77BEA" w:rsidRPr="00E77BEA">
        <w:rPr>
          <w:rFonts w:ascii="Arial" w:eastAsia="Calibri" w:hAnsi="Arial" w:cs="Arial"/>
          <w:b/>
        </w:rPr>
        <w:t>1</w:t>
      </w:r>
      <w:r w:rsidRPr="00E77BEA">
        <w:rPr>
          <w:rFonts w:ascii="Arial" w:eastAsia="Calibri" w:hAnsi="Arial" w:cs="Arial"/>
          <w:b/>
        </w:rPr>
        <w:t>/0</w:t>
      </w:r>
      <w:r w:rsidR="00AE741A" w:rsidRPr="00E77BEA">
        <w:rPr>
          <w:rFonts w:ascii="Arial" w:eastAsia="Calibri" w:hAnsi="Arial" w:cs="Arial"/>
          <w:b/>
        </w:rPr>
        <w:t>6</w:t>
      </w:r>
      <w:r w:rsidRPr="00E77BEA">
        <w:rPr>
          <w:rFonts w:ascii="Arial" w:eastAsia="Calibri" w:hAnsi="Arial" w:cs="Arial"/>
          <w:b/>
        </w:rPr>
        <w:t>/2018</w:t>
      </w:r>
    </w:p>
    <w:p w:rsidR="005A6315" w:rsidRPr="00E77BEA" w:rsidRDefault="005A6315" w:rsidP="005A6315">
      <w:pPr>
        <w:tabs>
          <w:tab w:val="left" w:pos="2268"/>
          <w:tab w:val="left" w:pos="5059"/>
        </w:tabs>
        <w:spacing w:line="276" w:lineRule="auto"/>
        <w:jc w:val="both"/>
        <w:rPr>
          <w:rFonts w:ascii="Arial" w:eastAsia="Calibri" w:hAnsi="Arial" w:cs="Arial"/>
          <w:b/>
        </w:rPr>
      </w:pPr>
      <w:r w:rsidRPr="00E77BEA">
        <w:rPr>
          <w:rFonts w:ascii="Arial" w:eastAsia="Calibri" w:hAnsi="Arial" w:cs="Arial"/>
          <w:b/>
        </w:rPr>
        <w:t>Autor: Poder Executivo</w:t>
      </w:r>
    </w:p>
    <w:p w:rsidR="005A6315" w:rsidRPr="00E77BEA" w:rsidRDefault="005A6315" w:rsidP="005A6315">
      <w:pPr>
        <w:tabs>
          <w:tab w:val="left" w:pos="2268"/>
          <w:tab w:val="left" w:pos="5059"/>
        </w:tabs>
        <w:spacing w:line="276" w:lineRule="auto"/>
        <w:jc w:val="both"/>
        <w:rPr>
          <w:rFonts w:ascii="Arial" w:eastAsia="Calibri" w:hAnsi="Arial" w:cs="Arial"/>
          <w:b/>
        </w:rPr>
      </w:pPr>
      <w:r w:rsidRPr="00E77BEA">
        <w:rPr>
          <w:rFonts w:ascii="Arial" w:eastAsia="Calibri" w:hAnsi="Arial" w:cs="Arial"/>
          <w:b/>
        </w:rPr>
        <w:t xml:space="preserve">Relator: Vereador </w:t>
      </w:r>
      <w:r w:rsidR="006311E8" w:rsidRPr="00E77BEA">
        <w:rPr>
          <w:rFonts w:ascii="Arial" w:eastAsia="Calibri" w:hAnsi="Arial" w:cs="Arial"/>
          <w:b/>
        </w:rPr>
        <w:t xml:space="preserve">Everton </w:t>
      </w:r>
      <w:proofErr w:type="spellStart"/>
      <w:r w:rsidR="006311E8" w:rsidRPr="00E77BEA">
        <w:rPr>
          <w:rFonts w:ascii="Arial" w:eastAsia="Calibri" w:hAnsi="Arial" w:cs="Arial"/>
          <w:b/>
        </w:rPr>
        <w:t>Michaelsen</w:t>
      </w:r>
      <w:proofErr w:type="spellEnd"/>
      <w:r w:rsidRPr="00E77BEA">
        <w:rPr>
          <w:rFonts w:ascii="Arial" w:eastAsia="Calibri" w:hAnsi="Arial" w:cs="Arial"/>
          <w:b/>
        </w:rPr>
        <w:t xml:space="preserve">           </w:t>
      </w:r>
    </w:p>
    <w:p w:rsidR="005A6315" w:rsidRPr="00E77BEA" w:rsidRDefault="005A6315" w:rsidP="005A6315">
      <w:pPr>
        <w:tabs>
          <w:tab w:val="left" w:pos="2268"/>
          <w:tab w:val="left" w:pos="5059"/>
        </w:tabs>
        <w:spacing w:line="276" w:lineRule="auto"/>
        <w:jc w:val="both"/>
        <w:rPr>
          <w:rFonts w:ascii="Arial" w:eastAsia="Calibri" w:hAnsi="Arial" w:cs="Arial"/>
          <w:b/>
        </w:rPr>
      </w:pPr>
      <w:r w:rsidRPr="00E77BEA">
        <w:rPr>
          <w:rFonts w:ascii="Arial" w:eastAsia="Calibri" w:hAnsi="Arial" w:cs="Arial"/>
          <w:b/>
        </w:rPr>
        <w:t>Conclusão do Voto: favorável à tramitação da matéria</w:t>
      </w:r>
    </w:p>
    <w:p w:rsidR="005A6315" w:rsidRPr="00E77BEA" w:rsidRDefault="005A6315" w:rsidP="005A6315">
      <w:pPr>
        <w:tabs>
          <w:tab w:val="left" w:pos="2268"/>
          <w:tab w:val="left" w:pos="5059"/>
        </w:tabs>
        <w:spacing w:line="276" w:lineRule="auto"/>
        <w:jc w:val="both"/>
        <w:rPr>
          <w:rFonts w:ascii="Arial" w:eastAsia="Calibri" w:hAnsi="Arial" w:cs="Arial"/>
          <w:b/>
        </w:rPr>
      </w:pPr>
    </w:p>
    <w:p w:rsidR="005A6315" w:rsidRPr="00E77BEA" w:rsidRDefault="005A6315" w:rsidP="005A6315">
      <w:pPr>
        <w:tabs>
          <w:tab w:val="left" w:pos="2268"/>
          <w:tab w:val="left" w:pos="5059"/>
        </w:tabs>
        <w:spacing w:line="276" w:lineRule="auto"/>
        <w:jc w:val="center"/>
        <w:rPr>
          <w:rFonts w:ascii="Arial" w:eastAsia="Calibri" w:hAnsi="Arial" w:cs="Arial"/>
          <w:b/>
        </w:rPr>
      </w:pPr>
      <w:r w:rsidRPr="00E77BEA">
        <w:rPr>
          <w:rFonts w:ascii="Arial" w:eastAsia="Calibri" w:hAnsi="Arial" w:cs="Arial"/>
          <w:b/>
        </w:rPr>
        <w:t>Relatório:</w:t>
      </w:r>
    </w:p>
    <w:p w:rsidR="00E77BEA" w:rsidRPr="00E77BEA" w:rsidRDefault="00E77BEA" w:rsidP="00E77BEA">
      <w:pPr>
        <w:spacing w:line="276" w:lineRule="auto"/>
        <w:ind w:firstLine="1701"/>
        <w:jc w:val="both"/>
        <w:rPr>
          <w:rFonts w:ascii="Arial" w:hAnsi="Arial" w:cs="Arial"/>
          <w:lang w:bidi="pt-BR"/>
        </w:rPr>
      </w:pPr>
      <w:r w:rsidRPr="00E77BEA">
        <w:rPr>
          <w:rFonts w:ascii="Arial" w:hAnsi="Arial" w:cs="Arial"/>
          <w:lang w:bidi="pt-BR"/>
        </w:rPr>
        <w:t xml:space="preserve">Foi encaminhado a esta Casa, o Projeto de Lei nº 021/2018, que requer autorização legislativa para </w:t>
      </w:r>
      <w:r w:rsidRPr="00E77BEA">
        <w:rPr>
          <w:rFonts w:ascii="Arial" w:hAnsi="Arial" w:cs="Arial"/>
        </w:rPr>
        <w:t xml:space="preserve">conceder a remissão de Dívida Tributária referente ao imposto de propriedade predial e territorial urbana – IPTU, dos Centros de Feiras e Eventos. </w:t>
      </w:r>
      <w:r w:rsidRPr="00E77BEA">
        <w:rPr>
          <w:rFonts w:ascii="Arial" w:hAnsi="Arial" w:cs="Arial"/>
          <w:lang w:bidi="pt-BR"/>
        </w:rPr>
        <w:t xml:space="preserve">Na Justificativa do PL, aduzem que a remissão pretendida é para regularizar uma situação gerada em decorrência do prazo de vigência do benefício de isenção, previsto na lei Municipal nº 2411/2005, que possibilitava isentar do IPTU os centros de feiras e eventos localizados no município, com área superior a 10000 m². Entretanto, a vigência do benefício se encerrou em 31 de dezembro de 2017, não tendo havido o encaminhamento pelo Executivo Municipal de alteração da referida lei, objetivando ampliação do prazo de concessão da isenção tributária. O efeito disso foi o lançamento do IPTU em 2018, em desfavor do Centro de eventos </w:t>
      </w:r>
      <w:proofErr w:type="spellStart"/>
      <w:r w:rsidRPr="00E77BEA">
        <w:rPr>
          <w:rFonts w:ascii="Arial" w:hAnsi="Arial" w:cs="Arial"/>
          <w:lang w:bidi="pt-BR"/>
        </w:rPr>
        <w:t>Sierra</w:t>
      </w:r>
      <w:proofErr w:type="spellEnd"/>
      <w:r w:rsidRPr="00E77BEA">
        <w:rPr>
          <w:rFonts w:ascii="Arial" w:hAnsi="Arial" w:cs="Arial"/>
          <w:lang w:bidi="pt-BR"/>
        </w:rPr>
        <w:t xml:space="preserve"> Park Exposições e Eventos Ltda., gerando lançamentos de IPTU em três matrículas (17694, 17695 e 17696), conforme os extratos que acompanham o PL ora em análise. Diante deste fato, em que pese o município ter incluído na LDO 2018, no anexo das renuncias de receitas a previsão para a continuidade da isenção tributária decorrente da lei Municipal 2411/2005, demonstrando a intenção de propor a sua prorrogação, como não houve o encaminhamento efetivo da prorrogação do benefício da isenção, com a prorrogação do prazo de vigência da lei 2411/2005, houve o lançamento tributário, sendo necessário a propositura de lei de remissão para extinguir o lançamento do imposto, até que nova alteração sobre o prazo de vigência da lei 2411/2005 venha a ser proposto. Sustenta ainda, o proponente, que a medida se faz necessária em razão do interesse público presente no segmento, visto que a realização de eventos, exposições e feiras é parte </w:t>
      </w:r>
      <w:r w:rsidRPr="00E77BEA">
        <w:rPr>
          <w:rFonts w:ascii="Arial" w:hAnsi="Arial" w:cs="Arial"/>
          <w:lang w:bidi="pt-BR"/>
        </w:rPr>
        <w:lastRenderedPageBreak/>
        <w:t>importante no fomento do turismo no município, e que o turismo de eventos é um dos pilares do desenvolvimento econômico de Gramado.</w:t>
      </w:r>
    </w:p>
    <w:p w:rsidR="00E77BEA" w:rsidRPr="00E77BEA" w:rsidRDefault="00E77BEA" w:rsidP="00E77BEA">
      <w:pPr>
        <w:spacing w:line="276" w:lineRule="auto"/>
        <w:ind w:firstLine="1701"/>
        <w:jc w:val="both"/>
        <w:rPr>
          <w:rFonts w:ascii="Arial" w:hAnsi="Arial" w:cs="Arial"/>
          <w:lang w:bidi="pt-BR"/>
        </w:rPr>
      </w:pPr>
      <w:r w:rsidRPr="00E77BEA">
        <w:rPr>
          <w:rFonts w:ascii="Arial" w:hAnsi="Arial" w:cs="Arial"/>
          <w:lang w:bidi="pt-BR"/>
        </w:rPr>
        <w:t xml:space="preserve">Acompanha o PL os extratos financeiros em nome da empresa </w:t>
      </w:r>
      <w:proofErr w:type="spellStart"/>
      <w:r w:rsidRPr="00E77BEA">
        <w:rPr>
          <w:rFonts w:ascii="Arial" w:hAnsi="Arial" w:cs="Arial"/>
          <w:lang w:bidi="pt-BR"/>
        </w:rPr>
        <w:t>Sierra</w:t>
      </w:r>
      <w:proofErr w:type="spellEnd"/>
      <w:r w:rsidRPr="00E77BEA">
        <w:rPr>
          <w:rFonts w:ascii="Arial" w:hAnsi="Arial" w:cs="Arial"/>
          <w:lang w:bidi="pt-BR"/>
        </w:rPr>
        <w:t xml:space="preserve"> Park Exposições e Eventos Ltda., com os lançamentos de IPTU para o exercício 2018, sob as matrículas nº 17694, 17695 e 17696, bem como a estimativa de impacto orçamentário e financeiro no exercício 2018, com valores zerados.</w:t>
      </w:r>
    </w:p>
    <w:p w:rsidR="00E77BEA" w:rsidRPr="00E77BEA" w:rsidRDefault="00E77BEA" w:rsidP="00E77BEA">
      <w:pPr>
        <w:spacing w:line="276" w:lineRule="auto"/>
        <w:ind w:firstLine="1701"/>
        <w:jc w:val="both"/>
        <w:rPr>
          <w:rFonts w:ascii="Arial" w:hAnsi="Arial" w:cs="Arial"/>
          <w:lang w:bidi="pt-BR"/>
        </w:rPr>
      </w:pPr>
      <w:r w:rsidRPr="00E77BEA">
        <w:rPr>
          <w:rFonts w:ascii="Arial" w:hAnsi="Arial" w:cs="Arial"/>
          <w:lang w:bidi="pt-BR"/>
        </w:rPr>
        <w:t>A</w:t>
      </w:r>
      <w:r w:rsidRPr="00E77BEA">
        <w:rPr>
          <w:rFonts w:ascii="Arial" w:hAnsi="Arial" w:cs="Arial"/>
          <w:lang w:bidi="pt-BR"/>
        </w:rPr>
        <w:t xml:space="preserve"> comissão</w:t>
      </w:r>
      <w:r w:rsidRPr="00E77BEA">
        <w:rPr>
          <w:rFonts w:ascii="Arial" w:hAnsi="Arial" w:cs="Arial"/>
          <w:lang w:bidi="pt-BR"/>
        </w:rPr>
        <w:t xml:space="preserve"> de infraestrutura, turismo, desenvolvimento e </w:t>
      </w:r>
      <w:proofErr w:type="gramStart"/>
      <w:r w:rsidRPr="00E77BEA">
        <w:rPr>
          <w:rFonts w:ascii="Arial" w:hAnsi="Arial" w:cs="Arial"/>
          <w:lang w:bidi="pt-BR"/>
        </w:rPr>
        <w:t>bem estar</w:t>
      </w:r>
      <w:proofErr w:type="gramEnd"/>
      <w:r w:rsidRPr="00E77BEA">
        <w:rPr>
          <w:rFonts w:ascii="Arial" w:hAnsi="Arial" w:cs="Arial"/>
          <w:lang w:bidi="pt-BR"/>
        </w:rPr>
        <w:t xml:space="preserve"> social,</w:t>
      </w:r>
      <w:r w:rsidRPr="00E77BEA">
        <w:rPr>
          <w:rFonts w:ascii="Arial" w:hAnsi="Arial" w:cs="Arial"/>
          <w:lang w:bidi="pt-BR"/>
        </w:rPr>
        <w:t xml:space="preserve"> expediu o ofício nº 21/2018, dirigido ao Chefe do Poder Executivo, solicitando informações acerca do PL ora em análise, o qual foi respondido pelo OF 304/2018 GP. Juntamente, foi encaminhado o impacto orçamentário, conforme solicitado </w:t>
      </w:r>
      <w:r w:rsidRPr="00E77BEA">
        <w:rPr>
          <w:rFonts w:ascii="Arial" w:hAnsi="Arial" w:cs="Arial"/>
          <w:lang w:bidi="pt-BR"/>
        </w:rPr>
        <w:t>por esta comissão.</w:t>
      </w:r>
    </w:p>
    <w:p w:rsidR="00E77BEA" w:rsidRPr="00E77BEA" w:rsidRDefault="00E77BEA" w:rsidP="00E77BEA">
      <w:pPr>
        <w:spacing w:line="276" w:lineRule="auto"/>
        <w:ind w:firstLine="1701"/>
        <w:jc w:val="both"/>
        <w:rPr>
          <w:rFonts w:ascii="Arial" w:hAnsi="Arial" w:cs="Arial"/>
        </w:rPr>
      </w:pPr>
      <w:r w:rsidRPr="00E77BEA">
        <w:rPr>
          <w:rFonts w:ascii="Arial" w:hAnsi="Arial" w:cs="Arial"/>
        </w:rPr>
        <w:t xml:space="preserve">O projeto já foi analisado pela Procuradora Geral da Casa, a qual proferiu Orientação Jurídica nº 41/2018, </w:t>
      </w:r>
      <w:r w:rsidRPr="00E77BEA">
        <w:rPr>
          <w:rFonts w:ascii="Arial" w:hAnsi="Arial" w:cs="Arial"/>
          <w:bCs/>
        </w:rPr>
        <w:t xml:space="preserve">favorável </w:t>
      </w:r>
      <w:r w:rsidRPr="00E77BEA">
        <w:rPr>
          <w:rFonts w:ascii="Arial" w:hAnsi="Arial" w:cs="Arial"/>
        </w:rPr>
        <w:t xml:space="preserve">à tramitação do PL 021/2018, pois atende as normas legais impostas, estando presentes a legalidade e constitucionalidade, </w:t>
      </w:r>
      <w:r w:rsidRPr="00E77BEA">
        <w:rPr>
          <w:rFonts w:ascii="Arial" w:hAnsi="Arial" w:cs="Arial"/>
          <w:b/>
        </w:rPr>
        <w:t>observada a necessidade de apresentação de impacto financeiro e orçamentário com os valores que estão sendo remidos</w:t>
      </w:r>
      <w:r w:rsidRPr="00E77BEA">
        <w:rPr>
          <w:rFonts w:ascii="Arial" w:hAnsi="Arial" w:cs="Arial"/>
        </w:rPr>
        <w:t>.</w:t>
      </w:r>
      <w:r w:rsidRPr="00E77BEA">
        <w:rPr>
          <w:rFonts w:ascii="Arial" w:hAnsi="Arial" w:cs="Arial"/>
          <w:bCs/>
        </w:rPr>
        <w:t xml:space="preserve"> </w:t>
      </w:r>
      <w:r w:rsidRPr="00E77BEA">
        <w:rPr>
          <w:rFonts w:ascii="Arial" w:hAnsi="Arial" w:cs="Arial"/>
        </w:rPr>
        <w:t>Tal orientação jurídica embasa a elaboração do presente parecer.</w:t>
      </w:r>
    </w:p>
    <w:p w:rsidR="00E77BEA" w:rsidRPr="00E77BEA" w:rsidRDefault="00E77BEA" w:rsidP="00E036E7">
      <w:pPr>
        <w:pStyle w:val="SemEspaamento"/>
        <w:spacing w:line="276" w:lineRule="auto"/>
        <w:jc w:val="center"/>
        <w:rPr>
          <w:rFonts w:ascii="Arial" w:hAnsi="Arial" w:cs="Arial"/>
        </w:rPr>
      </w:pPr>
    </w:p>
    <w:p w:rsidR="000E2A67" w:rsidRPr="00E77BEA" w:rsidRDefault="00487662" w:rsidP="00E036E7">
      <w:pPr>
        <w:pStyle w:val="SemEspaamento"/>
        <w:spacing w:line="276" w:lineRule="auto"/>
        <w:jc w:val="center"/>
        <w:rPr>
          <w:rFonts w:ascii="Arial" w:hAnsi="Arial" w:cs="Arial"/>
        </w:rPr>
      </w:pPr>
      <w:r w:rsidRPr="00E77BEA">
        <w:rPr>
          <w:rFonts w:ascii="Arial" w:hAnsi="Arial" w:cs="Arial"/>
        </w:rPr>
        <w:t>Análise</w:t>
      </w:r>
      <w:r w:rsidR="000E2A67" w:rsidRPr="00E77BEA">
        <w:rPr>
          <w:rFonts w:ascii="Arial" w:hAnsi="Arial" w:cs="Arial"/>
        </w:rPr>
        <w:t>:</w:t>
      </w:r>
    </w:p>
    <w:p w:rsidR="00657A12" w:rsidRPr="00E77BEA" w:rsidRDefault="00657A12" w:rsidP="00E036E7">
      <w:pPr>
        <w:pStyle w:val="SemEspaamento"/>
        <w:spacing w:line="276" w:lineRule="auto"/>
        <w:jc w:val="center"/>
        <w:rPr>
          <w:rFonts w:ascii="Arial" w:hAnsi="Arial" w:cs="Arial"/>
        </w:rPr>
      </w:pPr>
    </w:p>
    <w:p w:rsidR="000E2A67" w:rsidRPr="00E77BEA" w:rsidRDefault="000E2A67" w:rsidP="00E036E7">
      <w:pPr>
        <w:pStyle w:val="SemEspaamento"/>
        <w:spacing w:line="276" w:lineRule="auto"/>
        <w:rPr>
          <w:rFonts w:ascii="Arial" w:hAnsi="Arial" w:cs="Arial"/>
          <w:b/>
        </w:rPr>
      </w:pPr>
      <w:r w:rsidRPr="00E77BEA">
        <w:rPr>
          <w:rFonts w:ascii="Arial" w:hAnsi="Arial" w:cs="Arial"/>
          <w:b/>
        </w:rPr>
        <w:t xml:space="preserve">I – Quanto à área de </w:t>
      </w:r>
      <w:r w:rsidR="00B3511A" w:rsidRPr="00E77BEA">
        <w:rPr>
          <w:rFonts w:ascii="Arial" w:hAnsi="Arial" w:cs="Arial"/>
          <w:b/>
        </w:rPr>
        <w:t>Orçamento e Finanças</w:t>
      </w:r>
    </w:p>
    <w:p w:rsidR="000E2A67" w:rsidRPr="00E77BEA" w:rsidRDefault="000E2A67" w:rsidP="00E036E7">
      <w:pPr>
        <w:pStyle w:val="SemEspaamento"/>
        <w:spacing w:line="276" w:lineRule="auto"/>
        <w:rPr>
          <w:rFonts w:ascii="Arial" w:hAnsi="Arial" w:cs="Arial"/>
          <w:b/>
        </w:rPr>
      </w:pPr>
      <w:r w:rsidRPr="00E77BEA">
        <w:rPr>
          <w:rFonts w:ascii="Arial" w:hAnsi="Arial" w:cs="Arial"/>
          <w:b/>
        </w:rPr>
        <w:t>Art. 5</w:t>
      </w:r>
      <w:r w:rsidR="00B3511A" w:rsidRPr="00E77BEA">
        <w:rPr>
          <w:rFonts w:ascii="Arial" w:hAnsi="Arial" w:cs="Arial"/>
          <w:b/>
        </w:rPr>
        <w:t>5</w:t>
      </w:r>
      <w:r w:rsidRPr="00E77BEA">
        <w:rPr>
          <w:rFonts w:ascii="Arial" w:hAnsi="Arial" w:cs="Arial"/>
          <w:b/>
        </w:rPr>
        <w:t>, I</w:t>
      </w:r>
      <w:r w:rsidR="00B3511A" w:rsidRPr="00E77BEA">
        <w:rPr>
          <w:rFonts w:ascii="Arial" w:hAnsi="Arial" w:cs="Arial"/>
          <w:b/>
        </w:rPr>
        <w:t xml:space="preserve"> e II</w:t>
      </w:r>
      <w:r w:rsidRPr="00E77BEA">
        <w:rPr>
          <w:rFonts w:ascii="Arial" w:hAnsi="Arial" w:cs="Arial"/>
          <w:b/>
        </w:rPr>
        <w:t>, do Regimento Interno desta Casa:</w:t>
      </w:r>
    </w:p>
    <w:p w:rsidR="00AE741A" w:rsidRPr="00E77BEA" w:rsidRDefault="00AE741A" w:rsidP="00AE741A">
      <w:pPr>
        <w:pStyle w:val="SemEspaamento"/>
        <w:spacing w:line="276" w:lineRule="auto"/>
        <w:ind w:firstLine="2268"/>
        <w:jc w:val="both"/>
        <w:rPr>
          <w:rFonts w:ascii="Arial" w:hAnsi="Arial" w:cs="Arial"/>
          <w:color w:val="000000"/>
        </w:rPr>
      </w:pPr>
    </w:p>
    <w:p w:rsidR="00E77BEA" w:rsidRPr="00E77BEA" w:rsidRDefault="00E77BEA" w:rsidP="00E77BEA">
      <w:pPr>
        <w:pStyle w:val="SemEspaamento"/>
        <w:spacing w:line="276" w:lineRule="auto"/>
        <w:ind w:firstLine="1701"/>
        <w:jc w:val="both"/>
        <w:rPr>
          <w:rFonts w:ascii="Arial" w:hAnsi="Arial" w:cs="Arial"/>
          <w:i/>
          <w:color w:val="000000"/>
        </w:rPr>
      </w:pPr>
      <w:r w:rsidRPr="00E77BEA">
        <w:rPr>
          <w:rFonts w:ascii="Arial" w:hAnsi="Arial" w:cs="Arial"/>
          <w:color w:val="000000"/>
        </w:rPr>
        <w:t>A Constituição Federal estabelece competência aos municípios para legislarem sobre assuntos de interesse local, bem como para instituir e arrecadar tributos de sua competência e administrar suas rendas, consoante o disposto no art. 30, I e III, da Constituição Federal.</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No que se refere às limitações do poder de tributar, a Constituição Federal, na seção II, apresenta algumas vedações expressas quanto a esta limitação, sem prejuízo de outras garantias asseguradas ao contribuinte. Neste sentido, reza no artigo 150, parágrafo 6º, que qualquer remissão, relativa a impostos, taxas ou contribuições, só poderá ser concedida mediante </w:t>
      </w:r>
      <w:r w:rsidRPr="00E77BEA">
        <w:rPr>
          <w:rFonts w:ascii="Arial" w:hAnsi="Arial" w:cs="Arial"/>
          <w:color w:val="000000"/>
          <w:u w:val="single"/>
        </w:rPr>
        <w:t>lei específica</w:t>
      </w:r>
      <w:r w:rsidRPr="00E77BEA">
        <w:rPr>
          <w:rFonts w:ascii="Arial" w:hAnsi="Arial" w:cs="Arial"/>
          <w:color w:val="000000"/>
        </w:rPr>
        <w:t>, federal, estadual ou municipal, que regule exclusivamente a matéria.</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Portanto, o encaminhamento de lei específica, é a primeira medida que se impõe, porquanto o texto constitucional visa proteger o contribuinte do livre arbítrio do fisco, embasado nos princípios da legalidade e da isonomia, impedindo qualquer ato discricionário da administração tributária.</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Consonante ao texto constitucional, quando o ente tributante concede remissão a um sujeito passivo de uma relação jurídico-tributária, ele está promovendo a extinção sumária do crédito tributário devidamente lançado, constituindo-se, assim, </w:t>
      </w:r>
      <w:r w:rsidRPr="00E77BEA">
        <w:rPr>
          <w:rFonts w:ascii="Arial" w:hAnsi="Arial" w:cs="Arial"/>
          <w:color w:val="000000"/>
        </w:rPr>
        <w:lastRenderedPageBreak/>
        <w:t>uma exceção à regra geral imposta, visando, sobretudo, reduzir as desigualdades entre os que não possuem condições semelhantes.</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O Código Tributário Nacional (CTN), por sua vez, no art. 172, </w:t>
      </w:r>
      <w:proofErr w:type="gramStart"/>
      <w:r w:rsidRPr="00E77BEA">
        <w:rPr>
          <w:rFonts w:ascii="Arial" w:hAnsi="Arial" w:cs="Arial"/>
          <w:color w:val="000000"/>
        </w:rPr>
        <w:t>I,  na</w:t>
      </w:r>
      <w:proofErr w:type="gramEnd"/>
      <w:r w:rsidRPr="00E77BEA">
        <w:rPr>
          <w:rFonts w:ascii="Arial" w:hAnsi="Arial" w:cs="Arial"/>
          <w:color w:val="000000"/>
        </w:rPr>
        <w:t xml:space="preserve"> regulamentação da matéria, dispõe que a lei poderá autorizar a autoridade administrativa a conceder, por despacho fundamentado, remissão total ou parcial do crédito tributário.</w:t>
      </w:r>
      <w:r w:rsidRPr="00E77BEA">
        <w:rPr>
          <w:rFonts w:ascii="Arial" w:hAnsi="Arial" w:cs="Arial"/>
          <w:color w:val="000000"/>
        </w:rPr>
        <w:tab/>
      </w:r>
      <w:r w:rsidRPr="00E77BEA">
        <w:rPr>
          <w:rFonts w:ascii="Arial" w:hAnsi="Arial" w:cs="Arial"/>
          <w:color w:val="000000"/>
        </w:rPr>
        <w:tab/>
      </w:r>
      <w:r w:rsidRPr="00E77BEA">
        <w:rPr>
          <w:rFonts w:ascii="Arial" w:hAnsi="Arial" w:cs="Arial"/>
          <w:color w:val="000000"/>
        </w:rPr>
        <w:tab/>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Portanto, considerando que a remissão posta é originária da lei municipal nº 2.411/2005, que dispõe sobre a isenção de tributos municipais à empresas instaladas ou que venham a se instalar no município de Gramado e que tenham imóveis destinados a realização de eventos, exposições e feiras, cuja área física seja superior a 10.000 m², e que a remissão requerida é decorrente dos beneficiários desta lei, em vigor nos últimos 13(treze) anos, cuja interrupção se deu pelo termino da vigência da referida lei, pela falta de prorrogação do seu prazo, ainda que esta fosse a intenção do Município,  conforme informa a justificativa do proponente, nos parece ser o caso definido no diploma legal, acima referido. </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Observamos, todavia, que a remissão de tributos </w:t>
      </w:r>
      <w:proofErr w:type="gramStart"/>
      <w:r w:rsidRPr="00E77BEA">
        <w:rPr>
          <w:rFonts w:ascii="Arial" w:hAnsi="Arial" w:cs="Arial"/>
          <w:color w:val="000000"/>
        </w:rPr>
        <w:t>é  uma</w:t>
      </w:r>
      <w:proofErr w:type="gramEnd"/>
      <w:r w:rsidRPr="00E77BEA">
        <w:rPr>
          <w:rFonts w:ascii="Arial" w:hAnsi="Arial" w:cs="Arial"/>
          <w:color w:val="000000"/>
        </w:rPr>
        <w:t xml:space="preserve"> renúncia de receita, e como tal, além da autorização legislativa, deve ter previsão expressa na LDO – Lei de Diretrizes Orçamentárias.</w:t>
      </w:r>
    </w:p>
    <w:p w:rsidR="00E77BEA" w:rsidRPr="00E77BEA" w:rsidRDefault="00E77BEA" w:rsidP="00E77BEA">
      <w:pPr>
        <w:pStyle w:val="SemEspaamento"/>
        <w:spacing w:line="276" w:lineRule="auto"/>
        <w:ind w:firstLine="1701"/>
        <w:jc w:val="both"/>
        <w:rPr>
          <w:rFonts w:ascii="Arial" w:hAnsi="Arial" w:cs="Arial"/>
          <w:i/>
          <w:color w:val="000000"/>
        </w:rPr>
      </w:pPr>
      <w:r w:rsidRPr="00E77BEA">
        <w:rPr>
          <w:rFonts w:ascii="Arial" w:hAnsi="Arial" w:cs="Arial"/>
          <w:color w:val="000000"/>
        </w:rPr>
        <w:t>Também há de se observar o que dispõe o art. 14 da Lei de Responsabilidade Fiscal – Lei Complementar nº 101/2000, sendo obrigatório o implemento de medidas compensatórias editadas para este fim, no sentido de preservar o equilíbrio das contas públicas, sempre que decorrer renúncia de receitas.</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No caso concreto, está demonstrado no presente PL que a previsão dos valores a serem renunciados, estimados em R$ 154.663,85 (cento e cinquenta e quatro mil, seiscentos e sessenta e três reais e oitenta e cinco centavos),  relativos ao IPTU 2018 da empresa </w:t>
      </w:r>
      <w:proofErr w:type="spellStart"/>
      <w:r w:rsidRPr="00E77BEA">
        <w:rPr>
          <w:rFonts w:ascii="Arial" w:hAnsi="Arial" w:cs="Arial"/>
          <w:color w:val="000000"/>
        </w:rPr>
        <w:t>Sierra</w:t>
      </w:r>
      <w:proofErr w:type="spellEnd"/>
      <w:r w:rsidRPr="00E77BEA">
        <w:rPr>
          <w:rFonts w:ascii="Arial" w:hAnsi="Arial" w:cs="Arial"/>
          <w:color w:val="000000"/>
        </w:rPr>
        <w:t xml:space="preserve"> Park Exposições e Eventos Ltda., sendo esta a única empresa existente hoje no município que preenche os requisitos constantes da lei, onde os valores renunciados já foram contemplados no Anexo das renuncias de receitas que acompanha a LDO – Lei de Diretrizes Orçamentárias (Lei Municipal nº 3587/2017. </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Em razão destas medidas, fica atendida uma das exigências legais, uma vez que os referidos valores foram descontados no cálculo estimativo da receita orçamentária 2018, o que não geraria, em tese, não gerando impacto negativo sobre as metas fiscais, em conformidade com o art. 14, I, da LRF.</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Entretanto, o mesmo art. 14 exige ainda, além da condição acima referida, que a renúncia de receita esteja acompanhada também de impacto orçamentário-financeiro no exercício em que se inicia sua vigência e nos dois seguintes, p comprovar que a referida renúncia não afetará as metas fiscais previstas para o exercício 2018. </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A estimativa de impacto financeiro e orçamentário que acompanha o PL apresenta valores “zerados”, por conta da previsão existente na LDO, que estimava não incluir no orçamento 2018 tais valores. Todavia, como não houve a prorrogação do benefício fiscal, através da isenção tributária, ocorreu o lançamento do imposto, </w:t>
      </w:r>
      <w:r w:rsidRPr="00E77BEA">
        <w:rPr>
          <w:rFonts w:ascii="Arial" w:hAnsi="Arial" w:cs="Arial"/>
          <w:color w:val="000000"/>
        </w:rPr>
        <w:lastRenderedPageBreak/>
        <w:t>conforme já relatado. Assim, o crédito tributário foi constituído e passou a fazer parte do orçamento 2018, como expectativa de receita tributária.</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Desta forma, não há como o impacto ser “zero”, visto que a extinção do crédito tributário já constituído implicará em redução dos valores orçados para 2018, sendo necessário apresentar os cálculos e o impacto da extinção deste crédito, o que foi regularizado pelo Poder Executivo sendo apresentado novo impacto</w:t>
      </w:r>
      <w:r w:rsidRPr="00E77BEA">
        <w:rPr>
          <w:rFonts w:ascii="Arial" w:hAnsi="Arial" w:cs="Arial"/>
          <w:color w:val="000000"/>
        </w:rPr>
        <w:t>, suprindo a deficiência apresentada</w:t>
      </w:r>
      <w:r w:rsidRPr="00E77BEA">
        <w:rPr>
          <w:rFonts w:ascii="Arial" w:hAnsi="Arial" w:cs="Arial"/>
          <w:color w:val="000000"/>
        </w:rPr>
        <w:t>.</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As medidas de compensação são meramente estimativas, e deverão ser acompanhadas nas audiências quadrimestrais das metas fiscais, para que se confirme se não ficaram ultrapassadas ao previsto até o final do exercício vigente.</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Ainda, cumpre ressaltar a ausência de qualquer documento que comprove o cumprimento dos requisitos pelo beneficiário, relativo as exigências constantes da lei municipal nº 2.411/2005, art. 5</w:t>
      </w:r>
      <w:proofErr w:type="gramStart"/>
      <w:r w:rsidRPr="00E77BEA">
        <w:rPr>
          <w:rFonts w:ascii="Arial" w:hAnsi="Arial" w:cs="Arial"/>
          <w:color w:val="000000"/>
        </w:rPr>
        <w:t>º,  visto</w:t>
      </w:r>
      <w:proofErr w:type="gramEnd"/>
      <w:r w:rsidRPr="00E77BEA">
        <w:rPr>
          <w:rFonts w:ascii="Arial" w:hAnsi="Arial" w:cs="Arial"/>
          <w:color w:val="000000"/>
        </w:rPr>
        <w:t xml:space="preserve"> que a remissão ora concedida está justificada pelo atendimento aos requisitos da lei de isenção</w:t>
      </w:r>
      <w:r w:rsidRPr="00E77BEA">
        <w:rPr>
          <w:rFonts w:ascii="Arial" w:hAnsi="Arial" w:cs="Arial"/>
          <w:color w:val="000000"/>
        </w:rPr>
        <w:t>.</w:t>
      </w:r>
    </w:p>
    <w:p w:rsidR="00E77BEA" w:rsidRPr="00E77BEA" w:rsidRDefault="00E77BEA" w:rsidP="00E77BEA">
      <w:pPr>
        <w:pStyle w:val="SemEspaamento"/>
        <w:spacing w:line="276" w:lineRule="auto"/>
        <w:ind w:firstLine="1701"/>
        <w:jc w:val="both"/>
        <w:rPr>
          <w:rFonts w:ascii="Arial" w:hAnsi="Arial" w:cs="Arial"/>
          <w:color w:val="000000"/>
        </w:rPr>
      </w:pPr>
      <w:r w:rsidRPr="00E77BEA">
        <w:rPr>
          <w:rFonts w:ascii="Arial" w:hAnsi="Arial" w:cs="Arial"/>
          <w:color w:val="000000"/>
        </w:rPr>
        <w:t xml:space="preserve">Dessa forma, quanto </w:t>
      </w:r>
      <w:r w:rsidRPr="00E77BEA">
        <w:rPr>
          <w:rFonts w:ascii="Arial" w:hAnsi="Arial" w:cs="Arial"/>
          <w:color w:val="000000"/>
        </w:rPr>
        <w:t>a matéria orçamentária</w:t>
      </w:r>
      <w:r w:rsidRPr="00E77BEA">
        <w:rPr>
          <w:rFonts w:ascii="Arial" w:hAnsi="Arial" w:cs="Arial"/>
          <w:color w:val="000000"/>
        </w:rPr>
        <w:t xml:space="preserve">, não há óbice à tramitação da matéria. </w:t>
      </w:r>
    </w:p>
    <w:p w:rsidR="00657A12" w:rsidRPr="00E77BEA" w:rsidRDefault="00657A12" w:rsidP="0017741D">
      <w:pPr>
        <w:pStyle w:val="SemEspaamento"/>
        <w:jc w:val="center"/>
        <w:rPr>
          <w:rFonts w:ascii="Arial" w:hAnsi="Arial" w:cs="Arial"/>
        </w:rPr>
      </w:pPr>
    </w:p>
    <w:p w:rsidR="00487662" w:rsidRPr="00E77BEA" w:rsidRDefault="00487662" w:rsidP="00E036E7">
      <w:pPr>
        <w:pStyle w:val="SemEspaamento"/>
        <w:spacing w:line="276" w:lineRule="auto"/>
        <w:jc w:val="center"/>
        <w:rPr>
          <w:rFonts w:ascii="Arial" w:hAnsi="Arial" w:cs="Arial"/>
        </w:rPr>
      </w:pPr>
      <w:r w:rsidRPr="00E77BEA">
        <w:rPr>
          <w:rFonts w:ascii="Arial" w:hAnsi="Arial" w:cs="Arial"/>
        </w:rPr>
        <w:t>Conclusão do Voto:</w:t>
      </w:r>
    </w:p>
    <w:p w:rsidR="00657A12" w:rsidRPr="00E77BEA" w:rsidRDefault="00657A12" w:rsidP="00E036E7">
      <w:pPr>
        <w:pStyle w:val="SemEspaamento"/>
        <w:spacing w:line="276" w:lineRule="auto"/>
        <w:jc w:val="center"/>
        <w:rPr>
          <w:rFonts w:ascii="Arial" w:hAnsi="Arial" w:cs="Arial"/>
        </w:rPr>
      </w:pPr>
    </w:p>
    <w:p w:rsidR="0036296C" w:rsidRPr="00E77BEA" w:rsidRDefault="00487662" w:rsidP="00326AB4">
      <w:pPr>
        <w:pStyle w:val="SemEspaamento"/>
        <w:spacing w:line="276" w:lineRule="auto"/>
        <w:ind w:firstLine="2268"/>
        <w:jc w:val="both"/>
        <w:rPr>
          <w:rFonts w:ascii="Arial" w:hAnsi="Arial" w:cs="Arial"/>
        </w:rPr>
      </w:pPr>
      <w:r w:rsidRPr="00E77BEA">
        <w:rPr>
          <w:rFonts w:ascii="Arial" w:hAnsi="Arial" w:cs="Arial"/>
        </w:rPr>
        <w:t xml:space="preserve">Diante dos fundamentos legais e constitucionais expostos, com fundamento </w:t>
      </w:r>
      <w:r w:rsidR="0036296C" w:rsidRPr="00E77BEA">
        <w:rPr>
          <w:rFonts w:ascii="Arial" w:hAnsi="Arial" w:cs="Arial"/>
        </w:rPr>
        <w:t>na Orientação Jurídica</w:t>
      </w:r>
      <w:r w:rsidRPr="00E77BEA">
        <w:rPr>
          <w:rFonts w:ascii="Arial" w:hAnsi="Arial" w:cs="Arial"/>
        </w:rPr>
        <w:t xml:space="preserve"> da Procuradora Geral desta Casa, esta Relatoria, depois de debate realizado na Comissão, disponibiliza o presente voto concluindo </w:t>
      </w:r>
      <w:r w:rsidR="006272BC" w:rsidRPr="00E77BEA">
        <w:rPr>
          <w:rFonts w:ascii="Arial" w:hAnsi="Arial" w:cs="Arial"/>
        </w:rPr>
        <w:t xml:space="preserve">que o PL </w:t>
      </w:r>
      <w:r w:rsidR="00AE741A" w:rsidRPr="00E77BEA">
        <w:rPr>
          <w:rFonts w:ascii="Arial" w:hAnsi="Arial" w:cs="Arial"/>
        </w:rPr>
        <w:t>2</w:t>
      </w:r>
      <w:r w:rsidR="00E77BEA" w:rsidRPr="00E77BEA">
        <w:rPr>
          <w:rFonts w:ascii="Arial" w:hAnsi="Arial" w:cs="Arial"/>
        </w:rPr>
        <w:t>1</w:t>
      </w:r>
      <w:r w:rsidR="006272BC" w:rsidRPr="00E77BEA">
        <w:rPr>
          <w:rFonts w:ascii="Arial" w:hAnsi="Arial" w:cs="Arial"/>
        </w:rPr>
        <w:t>/201</w:t>
      </w:r>
      <w:r w:rsidR="0036296C" w:rsidRPr="00E77BEA">
        <w:rPr>
          <w:rFonts w:ascii="Arial" w:hAnsi="Arial" w:cs="Arial"/>
        </w:rPr>
        <w:t>8</w:t>
      </w:r>
      <w:r w:rsidR="006272BC" w:rsidRPr="00E77BEA">
        <w:rPr>
          <w:rFonts w:ascii="Arial" w:hAnsi="Arial" w:cs="Arial"/>
        </w:rPr>
        <w:t xml:space="preserve"> </w:t>
      </w:r>
      <w:r w:rsidR="00B3511A" w:rsidRPr="00E77BEA">
        <w:rPr>
          <w:rFonts w:ascii="Arial" w:hAnsi="Arial" w:cs="Arial"/>
        </w:rPr>
        <w:t>é</w:t>
      </w:r>
      <w:r w:rsidR="00E46210" w:rsidRPr="00E77BEA">
        <w:rPr>
          <w:rFonts w:ascii="Arial" w:hAnsi="Arial" w:cs="Arial"/>
        </w:rPr>
        <w:t xml:space="preserve"> viável a tramitação</w:t>
      </w:r>
      <w:r w:rsidR="00762785" w:rsidRPr="00E77BEA">
        <w:rPr>
          <w:rFonts w:ascii="Arial" w:hAnsi="Arial" w:cs="Arial"/>
        </w:rPr>
        <w:t>.</w:t>
      </w:r>
    </w:p>
    <w:p w:rsidR="0017741D" w:rsidRPr="00E77BEA" w:rsidRDefault="0017741D" w:rsidP="00326AB4">
      <w:pPr>
        <w:pStyle w:val="SemEspaamento"/>
        <w:spacing w:line="276" w:lineRule="auto"/>
        <w:ind w:firstLine="2268"/>
        <w:jc w:val="both"/>
        <w:rPr>
          <w:rFonts w:ascii="Arial" w:hAnsi="Arial" w:cs="Arial"/>
        </w:rPr>
      </w:pPr>
    </w:p>
    <w:p w:rsidR="00487662" w:rsidRPr="00E77BEA" w:rsidRDefault="006272BC" w:rsidP="00E036E7">
      <w:pPr>
        <w:pStyle w:val="SemEspaamento"/>
        <w:spacing w:line="276" w:lineRule="auto"/>
        <w:rPr>
          <w:rFonts w:ascii="Arial" w:hAnsi="Arial" w:cs="Arial"/>
        </w:rPr>
      </w:pPr>
      <w:r w:rsidRPr="00E77BEA">
        <w:rPr>
          <w:rFonts w:ascii="Arial" w:hAnsi="Arial" w:cs="Arial"/>
        </w:rPr>
        <w:tab/>
      </w:r>
      <w:r w:rsidR="00326AB4" w:rsidRPr="00E77BEA">
        <w:rPr>
          <w:rFonts w:ascii="Arial" w:hAnsi="Arial" w:cs="Arial"/>
        </w:rPr>
        <w:tab/>
      </w:r>
      <w:r w:rsidR="00326AB4" w:rsidRPr="00E77BEA">
        <w:rPr>
          <w:rFonts w:ascii="Arial" w:hAnsi="Arial" w:cs="Arial"/>
        </w:rPr>
        <w:tab/>
      </w:r>
      <w:r w:rsidR="00487662" w:rsidRPr="00E77BEA">
        <w:rPr>
          <w:rFonts w:ascii="Arial" w:hAnsi="Arial" w:cs="Arial"/>
        </w:rPr>
        <w:t xml:space="preserve">Sala das Comissões, em </w:t>
      </w:r>
      <w:r w:rsidR="00E77BEA" w:rsidRPr="00E77BEA">
        <w:rPr>
          <w:rFonts w:ascii="Arial" w:hAnsi="Arial" w:cs="Arial"/>
        </w:rPr>
        <w:t>21</w:t>
      </w:r>
      <w:r w:rsidR="00487662" w:rsidRPr="00E77BEA">
        <w:rPr>
          <w:rFonts w:ascii="Arial" w:hAnsi="Arial" w:cs="Arial"/>
        </w:rPr>
        <w:t xml:space="preserve"> de </w:t>
      </w:r>
      <w:r w:rsidR="00D75F4E" w:rsidRPr="00E77BEA">
        <w:rPr>
          <w:rFonts w:ascii="Arial" w:hAnsi="Arial" w:cs="Arial"/>
        </w:rPr>
        <w:t>junho</w:t>
      </w:r>
      <w:r w:rsidR="00487662" w:rsidRPr="00E77BEA">
        <w:rPr>
          <w:rFonts w:ascii="Arial" w:hAnsi="Arial" w:cs="Arial"/>
        </w:rPr>
        <w:t xml:space="preserve"> de 201</w:t>
      </w:r>
      <w:r w:rsidR="00762785" w:rsidRPr="00E77BEA">
        <w:rPr>
          <w:rFonts w:ascii="Arial" w:hAnsi="Arial" w:cs="Arial"/>
        </w:rPr>
        <w:t>8</w:t>
      </w:r>
      <w:r w:rsidR="00487662" w:rsidRPr="00E77BEA">
        <w:rPr>
          <w:rFonts w:ascii="Arial" w:hAnsi="Arial" w:cs="Arial"/>
        </w:rPr>
        <w:t>.</w:t>
      </w:r>
    </w:p>
    <w:p w:rsidR="00DB6013" w:rsidRPr="00E77BEA" w:rsidRDefault="00DB6013" w:rsidP="00E036E7">
      <w:pPr>
        <w:pStyle w:val="SemEspaamento"/>
        <w:spacing w:line="276" w:lineRule="auto"/>
        <w:rPr>
          <w:rFonts w:ascii="Arial" w:hAnsi="Arial" w:cs="Arial"/>
        </w:rPr>
      </w:pPr>
    </w:p>
    <w:p w:rsidR="003C5778" w:rsidRPr="00E77BEA" w:rsidRDefault="003C5778" w:rsidP="00E036E7">
      <w:pPr>
        <w:pStyle w:val="SemEspaamento"/>
        <w:spacing w:line="276" w:lineRule="auto"/>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Vereador Relator</w:t>
      </w:r>
    </w:p>
    <w:p w:rsidR="006311E8" w:rsidRPr="00E77BEA" w:rsidRDefault="006311E8" w:rsidP="006311E8">
      <w:pPr>
        <w:pStyle w:val="SemEspaamento"/>
        <w:spacing w:line="276" w:lineRule="auto"/>
        <w:jc w:val="center"/>
        <w:rPr>
          <w:rFonts w:ascii="Arial" w:hAnsi="Arial" w:cs="Arial"/>
        </w:rPr>
      </w:pPr>
      <w:r w:rsidRPr="00E77BEA">
        <w:rPr>
          <w:rFonts w:ascii="Arial" w:hAnsi="Arial" w:cs="Arial"/>
        </w:rPr>
        <w:t>Vereador Vice-Presidente</w:t>
      </w:r>
    </w:p>
    <w:p w:rsidR="006311E8" w:rsidRPr="00E77BEA" w:rsidRDefault="006311E8" w:rsidP="006311E8">
      <w:pPr>
        <w:pStyle w:val="SemEspaamento"/>
        <w:spacing w:line="276" w:lineRule="auto"/>
        <w:jc w:val="center"/>
        <w:rPr>
          <w:rFonts w:ascii="Arial" w:hAnsi="Arial" w:cs="Arial"/>
        </w:rPr>
      </w:pPr>
      <w:r w:rsidRPr="00E77BEA">
        <w:rPr>
          <w:rFonts w:ascii="Arial" w:hAnsi="Arial" w:cs="Arial"/>
        </w:rPr>
        <w:t xml:space="preserve">Everton </w:t>
      </w:r>
      <w:bookmarkStart w:id="0" w:name="_GoBack"/>
      <w:bookmarkEnd w:id="0"/>
      <w:proofErr w:type="spellStart"/>
      <w:r w:rsidRPr="00E77BEA">
        <w:rPr>
          <w:rFonts w:ascii="Arial" w:hAnsi="Arial" w:cs="Arial"/>
        </w:rPr>
        <w:t>Michaelsen</w:t>
      </w:r>
      <w:proofErr w:type="spellEnd"/>
    </w:p>
    <w:p w:rsidR="0017741D" w:rsidRPr="00E77BEA" w:rsidRDefault="0017741D"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Acompanhando o voto d</w:t>
      </w:r>
      <w:r w:rsidR="00762785" w:rsidRPr="00E77BEA">
        <w:rPr>
          <w:rFonts w:ascii="Arial" w:hAnsi="Arial" w:cs="Arial"/>
        </w:rPr>
        <w:t>o</w:t>
      </w:r>
      <w:r w:rsidRPr="00E77BEA">
        <w:rPr>
          <w:rFonts w:ascii="Arial" w:hAnsi="Arial" w:cs="Arial"/>
        </w:rPr>
        <w:t xml:space="preserve"> relator:</w:t>
      </w:r>
    </w:p>
    <w:p w:rsidR="00487662" w:rsidRPr="00E77BEA" w:rsidRDefault="00487662"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p w:rsidR="00487662" w:rsidRPr="00E77BEA" w:rsidRDefault="00487662" w:rsidP="003C5778">
      <w:pPr>
        <w:pStyle w:val="SemEspaamento"/>
        <w:spacing w:line="276" w:lineRule="auto"/>
        <w:jc w:val="center"/>
        <w:rPr>
          <w:rFonts w:ascii="Arial" w:hAnsi="Arial" w:cs="Arial"/>
        </w:rPr>
      </w:pPr>
      <w:r w:rsidRPr="00E77BEA">
        <w:rPr>
          <w:rFonts w:ascii="Arial" w:hAnsi="Arial" w:cs="Arial"/>
        </w:rPr>
        <w:t>Vereador Presidente</w:t>
      </w:r>
    </w:p>
    <w:p w:rsidR="00487662" w:rsidRPr="00E77BEA" w:rsidRDefault="003C5778" w:rsidP="003C5778">
      <w:pPr>
        <w:pStyle w:val="SemEspaamento"/>
        <w:spacing w:line="276" w:lineRule="auto"/>
        <w:jc w:val="center"/>
        <w:rPr>
          <w:rFonts w:ascii="Arial" w:hAnsi="Arial" w:cs="Arial"/>
        </w:rPr>
      </w:pPr>
      <w:r w:rsidRPr="00E77BEA">
        <w:rPr>
          <w:rFonts w:ascii="Arial" w:hAnsi="Arial" w:cs="Arial"/>
        </w:rPr>
        <w:t>Volnei da Saúde</w:t>
      </w:r>
    </w:p>
    <w:p w:rsidR="00E77BEA" w:rsidRPr="00E77BEA" w:rsidRDefault="00E77BEA"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p>
    <w:p w:rsidR="006311E8" w:rsidRPr="00E77BEA" w:rsidRDefault="006311E8" w:rsidP="003C5778">
      <w:pPr>
        <w:pStyle w:val="SemEspaamento"/>
        <w:spacing w:line="276" w:lineRule="auto"/>
        <w:jc w:val="center"/>
        <w:rPr>
          <w:rFonts w:ascii="Arial" w:hAnsi="Arial" w:cs="Arial"/>
        </w:rPr>
      </w:pPr>
      <w:r w:rsidRPr="00E77BEA">
        <w:rPr>
          <w:rFonts w:ascii="Arial" w:hAnsi="Arial" w:cs="Arial"/>
        </w:rPr>
        <w:t>Vereador Membro</w:t>
      </w:r>
    </w:p>
    <w:p w:rsidR="006311E8" w:rsidRPr="00E77BEA" w:rsidRDefault="006311E8" w:rsidP="003C5778">
      <w:pPr>
        <w:pStyle w:val="SemEspaamento"/>
        <w:spacing w:line="276" w:lineRule="auto"/>
        <w:jc w:val="center"/>
        <w:rPr>
          <w:rFonts w:ascii="Arial" w:hAnsi="Arial" w:cs="Arial"/>
        </w:rPr>
      </w:pPr>
      <w:proofErr w:type="spellStart"/>
      <w:r w:rsidRPr="00E77BEA">
        <w:rPr>
          <w:rFonts w:ascii="Arial" w:hAnsi="Arial" w:cs="Arial"/>
        </w:rPr>
        <w:t>Luia</w:t>
      </w:r>
      <w:proofErr w:type="spellEnd"/>
      <w:r w:rsidRPr="00E77BEA">
        <w:rPr>
          <w:rFonts w:ascii="Arial" w:hAnsi="Arial" w:cs="Arial"/>
        </w:rPr>
        <w:t xml:space="preserve"> </w:t>
      </w:r>
      <w:proofErr w:type="spellStart"/>
      <w:r w:rsidRPr="00E77BEA">
        <w:rPr>
          <w:rFonts w:ascii="Arial" w:hAnsi="Arial" w:cs="Arial"/>
        </w:rPr>
        <w:t>Barbacovi</w:t>
      </w:r>
      <w:proofErr w:type="spellEnd"/>
    </w:p>
    <w:p w:rsidR="003C5778" w:rsidRPr="00E77BEA" w:rsidRDefault="003C5778" w:rsidP="003C5778">
      <w:pPr>
        <w:pStyle w:val="SemEspaamento"/>
        <w:spacing w:line="276" w:lineRule="auto"/>
        <w:jc w:val="center"/>
        <w:rPr>
          <w:rFonts w:ascii="Arial" w:hAnsi="Arial" w:cs="Arial"/>
        </w:rPr>
      </w:pPr>
    </w:p>
    <w:p w:rsidR="003C5778" w:rsidRPr="00E77BEA" w:rsidRDefault="003C5778" w:rsidP="003C5778">
      <w:pPr>
        <w:pStyle w:val="SemEspaamento"/>
        <w:spacing w:line="276" w:lineRule="auto"/>
        <w:jc w:val="center"/>
        <w:rPr>
          <w:rFonts w:ascii="Arial" w:hAnsi="Arial" w:cs="Arial"/>
        </w:rPr>
      </w:pPr>
    </w:p>
    <w:sectPr w:rsidR="003C5778" w:rsidRPr="00E77BEA"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74E" w:rsidRDefault="0092474E" w:rsidP="00B17B53">
      <w:pPr>
        <w:spacing w:after="0" w:line="240" w:lineRule="auto"/>
      </w:pPr>
      <w:r>
        <w:separator/>
      </w:r>
    </w:p>
  </w:endnote>
  <w:endnote w:type="continuationSeparator" w:id="0">
    <w:p w:rsidR="0092474E" w:rsidRDefault="0092474E"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74E" w:rsidRDefault="0092474E" w:rsidP="00B17B53">
      <w:pPr>
        <w:spacing w:after="0" w:line="240" w:lineRule="auto"/>
      </w:pPr>
      <w:r>
        <w:separator/>
      </w:r>
    </w:p>
  </w:footnote>
  <w:footnote w:type="continuationSeparator" w:id="0">
    <w:p w:rsidR="0092474E" w:rsidRDefault="0092474E"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B4CCA"/>
    <w:rsid w:val="000C4E46"/>
    <w:rsid w:val="000C6254"/>
    <w:rsid w:val="000D06C5"/>
    <w:rsid w:val="000D335C"/>
    <w:rsid w:val="000D4018"/>
    <w:rsid w:val="000E2A67"/>
    <w:rsid w:val="00100977"/>
    <w:rsid w:val="001074F4"/>
    <w:rsid w:val="00110704"/>
    <w:rsid w:val="00115289"/>
    <w:rsid w:val="00134023"/>
    <w:rsid w:val="00134D6D"/>
    <w:rsid w:val="0015079A"/>
    <w:rsid w:val="00151289"/>
    <w:rsid w:val="00151B56"/>
    <w:rsid w:val="00155B6F"/>
    <w:rsid w:val="00156846"/>
    <w:rsid w:val="00162842"/>
    <w:rsid w:val="00162980"/>
    <w:rsid w:val="0016653E"/>
    <w:rsid w:val="00172788"/>
    <w:rsid w:val="0017741D"/>
    <w:rsid w:val="0018651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71DF1"/>
    <w:rsid w:val="002806AD"/>
    <w:rsid w:val="002A1785"/>
    <w:rsid w:val="002C01A4"/>
    <w:rsid w:val="002C4E64"/>
    <w:rsid w:val="002E5DCE"/>
    <w:rsid w:val="00304269"/>
    <w:rsid w:val="00315B62"/>
    <w:rsid w:val="00321B5E"/>
    <w:rsid w:val="00326AB4"/>
    <w:rsid w:val="003310D1"/>
    <w:rsid w:val="00340388"/>
    <w:rsid w:val="00347737"/>
    <w:rsid w:val="00354D85"/>
    <w:rsid w:val="00356634"/>
    <w:rsid w:val="00356AA3"/>
    <w:rsid w:val="0036296C"/>
    <w:rsid w:val="0036477C"/>
    <w:rsid w:val="00364DB0"/>
    <w:rsid w:val="003654D7"/>
    <w:rsid w:val="0037028D"/>
    <w:rsid w:val="00375DA8"/>
    <w:rsid w:val="0039375A"/>
    <w:rsid w:val="00397E26"/>
    <w:rsid w:val="003A4237"/>
    <w:rsid w:val="003B58E3"/>
    <w:rsid w:val="003B7E58"/>
    <w:rsid w:val="003C2160"/>
    <w:rsid w:val="003C2C8D"/>
    <w:rsid w:val="003C3380"/>
    <w:rsid w:val="003C5778"/>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B2EC3"/>
    <w:rsid w:val="004E0DD3"/>
    <w:rsid w:val="004F0611"/>
    <w:rsid w:val="004F60CE"/>
    <w:rsid w:val="005004AC"/>
    <w:rsid w:val="005065DA"/>
    <w:rsid w:val="00516FBB"/>
    <w:rsid w:val="00524086"/>
    <w:rsid w:val="005268BE"/>
    <w:rsid w:val="0053678C"/>
    <w:rsid w:val="005571F7"/>
    <w:rsid w:val="00575776"/>
    <w:rsid w:val="00582E39"/>
    <w:rsid w:val="005902D3"/>
    <w:rsid w:val="005A3923"/>
    <w:rsid w:val="005A6315"/>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11E8"/>
    <w:rsid w:val="00633C9D"/>
    <w:rsid w:val="00641D7D"/>
    <w:rsid w:val="00646BAD"/>
    <w:rsid w:val="00657A12"/>
    <w:rsid w:val="006636B8"/>
    <w:rsid w:val="0067136B"/>
    <w:rsid w:val="00671E97"/>
    <w:rsid w:val="00691649"/>
    <w:rsid w:val="00693C31"/>
    <w:rsid w:val="006B43A6"/>
    <w:rsid w:val="006C4A65"/>
    <w:rsid w:val="006D418B"/>
    <w:rsid w:val="006D47C3"/>
    <w:rsid w:val="006E2BE0"/>
    <w:rsid w:val="006F00FC"/>
    <w:rsid w:val="006F0DF7"/>
    <w:rsid w:val="006F1C9A"/>
    <w:rsid w:val="006F502F"/>
    <w:rsid w:val="006F6387"/>
    <w:rsid w:val="006F7C9C"/>
    <w:rsid w:val="007074CF"/>
    <w:rsid w:val="00717795"/>
    <w:rsid w:val="00726B36"/>
    <w:rsid w:val="007273BE"/>
    <w:rsid w:val="00731790"/>
    <w:rsid w:val="0074519A"/>
    <w:rsid w:val="0074624A"/>
    <w:rsid w:val="007508CA"/>
    <w:rsid w:val="007549D0"/>
    <w:rsid w:val="007549D6"/>
    <w:rsid w:val="00762785"/>
    <w:rsid w:val="0076464A"/>
    <w:rsid w:val="00772641"/>
    <w:rsid w:val="00772991"/>
    <w:rsid w:val="00773C2A"/>
    <w:rsid w:val="00775507"/>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2E64"/>
    <w:rsid w:val="008D3797"/>
    <w:rsid w:val="008D4652"/>
    <w:rsid w:val="008D671D"/>
    <w:rsid w:val="008E31B9"/>
    <w:rsid w:val="008F32DC"/>
    <w:rsid w:val="008F7957"/>
    <w:rsid w:val="00900575"/>
    <w:rsid w:val="00905942"/>
    <w:rsid w:val="00916A40"/>
    <w:rsid w:val="00920430"/>
    <w:rsid w:val="0092474E"/>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54E5D"/>
    <w:rsid w:val="00A70B89"/>
    <w:rsid w:val="00A80EC9"/>
    <w:rsid w:val="00A84864"/>
    <w:rsid w:val="00A95A5F"/>
    <w:rsid w:val="00AA0455"/>
    <w:rsid w:val="00AB1EB9"/>
    <w:rsid w:val="00AC1EE0"/>
    <w:rsid w:val="00AC2722"/>
    <w:rsid w:val="00AC6AB3"/>
    <w:rsid w:val="00AD1C96"/>
    <w:rsid w:val="00AE58BC"/>
    <w:rsid w:val="00AE741A"/>
    <w:rsid w:val="00AF5697"/>
    <w:rsid w:val="00AF7B41"/>
    <w:rsid w:val="00B05DA2"/>
    <w:rsid w:val="00B17B53"/>
    <w:rsid w:val="00B2214E"/>
    <w:rsid w:val="00B23AE5"/>
    <w:rsid w:val="00B273CD"/>
    <w:rsid w:val="00B3151B"/>
    <w:rsid w:val="00B3511A"/>
    <w:rsid w:val="00B368F7"/>
    <w:rsid w:val="00B45455"/>
    <w:rsid w:val="00B46249"/>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1D67"/>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CF5E94"/>
    <w:rsid w:val="00D03E02"/>
    <w:rsid w:val="00D1420E"/>
    <w:rsid w:val="00D21214"/>
    <w:rsid w:val="00D242B5"/>
    <w:rsid w:val="00D33E26"/>
    <w:rsid w:val="00D41EB7"/>
    <w:rsid w:val="00D557EC"/>
    <w:rsid w:val="00D55A68"/>
    <w:rsid w:val="00D56492"/>
    <w:rsid w:val="00D62A77"/>
    <w:rsid w:val="00D63174"/>
    <w:rsid w:val="00D75F4E"/>
    <w:rsid w:val="00D87EFA"/>
    <w:rsid w:val="00D95CFD"/>
    <w:rsid w:val="00DA0AC6"/>
    <w:rsid w:val="00DA3002"/>
    <w:rsid w:val="00DB2313"/>
    <w:rsid w:val="00DB6013"/>
    <w:rsid w:val="00DB7599"/>
    <w:rsid w:val="00DC1CBE"/>
    <w:rsid w:val="00DC3C28"/>
    <w:rsid w:val="00DE7D28"/>
    <w:rsid w:val="00DF14D2"/>
    <w:rsid w:val="00DF6232"/>
    <w:rsid w:val="00DF750D"/>
    <w:rsid w:val="00E03142"/>
    <w:rsid w:val="00E036E7"/>
    <w:rsid w:val="00E105EA"/>
    <w:rsid w:val="00E11ACD"/>
    <w:rsid w:val="00E249A3"/>
    <w:rsid w:val="00E26635"/>
    <w:rsid w:val="00E37388"/>
    <w:rsid w:val="00E46210"/>
    <w:rsid w:val="00E53DAA"/>
    <w:rsid w:val="00E55917"/>
    <w:rsid w:val="00E623AB"/>
    <w:rsid w:val="00E647DF"/>
    <w:rsid w:val="00E77BEA"/>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 w:val="00FF40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BF2558"/>
  <w15:docId w15:val="{40D71C30-B4E5-47C1-AAE4-B4980759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7653-40A9-4EA5-BCEF-6BA2E1BA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1488</Words>
  <Characters>8040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2018-06-07T13:57:00Z</cp:lastPrinted>
  <dcterms:created xsi:type="dcterms:W3CDTF">2018-06-19T17:53:00Z</dcterms:created>
  <dcterms:modified xsi:type="dcterms:W3CDTF">2018-06-19T18:03:00Z</dcterms:modified>
</cp:coreProperties>
</file>