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0C02F2" w:rsidRDefault="00487662" w:rsidP="009D6CF6">
      <w:pPr>
        <w:tabs>
          <w:tab w:val="left" w:pos="1418"/>
          <w:tab w:val="left" w:pos="5059"/>
        </w:tabs>
        <w:spacing w:line="276" w:lineRule="auto"/>
        <w:jc w:val="center"/>
        <w:rPr>
          <w:rFonts w:ascii="Arial" w:eastAsia="Calibri" w:hAnsi="Arial" w:cs="Arial"/>
          <w:b/>
          <w:sz w:val="24"/>
          <w:szCs w:val="23"/>
        </w:rPr>
      </w:pPr>
      <w:r w:rsidRPr="000C02F2">
        <w:rPr>
          <w:rFonts w:ascii="Arial" w:eastAsia="Calibri" w:hAnsi="Arial" w:cs="Arial"/>
          <w:b/>
          <w:sz w:val="24"/>
          <w:szCs w:val="23"/>
        </w:rPr>
        <w:t xml:space="preserve">COMISSÃO DE </w:t>
      </w:r>
      <w:r w:rsidR="006F00FC" w:rsidRPr="000C02F2">
        <w:rPr>
          <w:rFonts w:ascii="Arial" w:eastAsia="Calibri" w:hAnsi="Arial" w:cs="Arial"/>
          <w:b/>
          <w:sz w:val="24"/>
          <w:szCs w:val="23"/>
        </w:rPr>
        <w:t>LEGISLAÇÃO</w:t>
      </w:r>
      <w:r w:rsidRPr="000C02F2">
        <w:rPr>
          <w:rFonts w:ascii="Arial" w:eastAsia="Calibri" w:hAnsi="Arial" w:cs="Arial"/>
          <w:b/>
          <w:sz w:val="24"/>
          <w:szCs w:val="23"/>
        </w:rPr>
        <w:t xml:space="preserve"> E REDAÇÃO</w:t>
      </w:r>
      <w:r w:rsidR="006F00FC" w:rsidRPr="000C02F2">
        <w:rPr>
          <w:rFonts w:ascii="Arial" w:eastAsia="Calibri" w:hAnsi="Arial" w:cs="Arial"/>
          <w:b/>
          <w:sz w:val="24"/>
          <w:szCs w:val="23"/>
        </w:rPr>
        <w:t xml:space="preserve"> FINAL</w:t>
      </w:r>
    </w:p>
    <w:p w:rsidR="00487662" w:rsidRPr="000C02F2" w:rsidRDefault="00487662" w:rsidP="009D6CF6">
      <w:pPr>
        <w:tabs>
          <w:tab w:val="left" w:pos="1418"/>
          <w:tab w:val="left" w:pos="5059"/>
        </w:tabs>
        <w:spacing w:line="276" w:lineRule="auto"/>
        <w:jc w:val="center"/>
        <w:rPr>
          <w:rFonts w:ascii="Arial" w:eastAsia="Calibri" w:hAnsi="Arial" w:cs="Arial"/>
          <w:b/>
          <w:sz w:val="24"/>
          <w:szCs w:val="23"/>
        </w:rPr>
      </w:pP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Parecer:</w:t>
      </w:r>
      <w:r w:rsidRPr="000C02F2">
        <w:rPr>
          <w:rFonts w:ascii="Arial" w:hAnsi="Arial" w:cs="Arial"/>
          <w:sz w:val="24"/>
          <w:szCs w:val="23"/>
        </w:rPr>
        <w:t xml:space="preserve"> </w:t>
      </w:r>
      <w:r w:rsidR="008F3BC6" w:rsidRPr="000C02F2">
        <w:rPr>
          <w:rFonts w:ascii="Arial" w:hAnsi="Arial" w:cs="Arial"/>
          <w:sz w:val="24"/>
          <w:szCs w:val="23"/>
        </w:rPr>
        <w:t>3</w:t>
      </w:r>
      <w:r w:rsidR="008D5B06" w:rsidRPr="000C02F2">
        <w:rPr>
          <w:rFonts w:ascii="Arial" w:hAnsi="Arial" w:cs="Arial"/>
          <w:sz w:val="24"/>
          <w:szCs w:val="23"/>
        </w:rPr>
        <w:t>2</w:t>
      </w:r>
      <w:r w:rsidRPr="000C02F2">
        <w:rPr>
          <w:rFonts w:ascii="Arial" w:hAnsi="Arial" w:cs="Arial"/>
          <w:sz w:val="24"/>
          <w:szCs w:val="23"/>
        </w:rPr>
        <w:t>/2018</w:t>
      </w: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Data:</w:t>
      </w:r>
      <w:r w:rsidRPr="000C02F2">
        <w:rPr>
          <w:rFonts w:ascii="Arial" w:hAnsi="Arial" w:cs="Arial"/>
          <w:sz w:val="24"/>
          <w:szCs w:val="23"/>
        </w:rPr>
        <w:t xml:space="preserve"> </w:t>
      </w:r>
      <w:r w:rsidR="004E06F0" w:rsidRPr="000C02F2">
        <w:rPr>
          <w:rFonts w:ascii="Arial" w:hAnsi="Arial" w:cs="Arial"/>
          <w:sz w:val="24"/>
          <w:szCs w:val="23"/>
        </w:rPr>
        <w:t>2</w:t>
      </w:r>
      <w:r w:rsidR="00E85C37" w:rsidRPr="000C02F2">
        <w:rPr>
          <w:rFonts w:ascii="Arial" w:hAnsi="Arial" w:cs="Arial"/>
          <w:sz w:val="24"/>
          <w:szCs w:val="23"/>
        </w:rPr>
        <w:t>9</w:t>
      </w:r>
      <w:r w:rsidRPr="000C02F2">
        <w:rPr>
          <w:rFonts w:ascii="Arial" w:hAnsi="Arial" w:cs="Arial"/>
          <w:sz w:val="24"/>
          <w:szCs w:val="23"/>
        </w:rPr>
        <w:t xml:space="preserve"> de março de 2018</w:t>
      </w: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Matéria:</w:t>
      </w:r>
      <w:r w:rsidRPr="000C02F2">
        <w:rPr>
          <w:rFonts w:ascii="Arial" w:hAnsi="Arial" w:cs="Arial"/>
          <w:sz w:val="24"/>
          <w:szCs w:val="23"/>
        </w:rPr>
        <w:t xml:space="preserve"> Projeto de Ordinária nº 0</w:t>
      </w:r>
      <w:r w:rsidR="008D5B06" w:rsidRPr="000C02F2">
        <w:rPr>
          <w:rFonts w:ascii="Arial" w:hAnsi="Arial" w:cs="Arial"/>
          <w:sz w:val="24"/>
          <w:szCs w:val="23"/>
        </w:rPr>
        <w:t>9/</w:t>
      </w:r>
      <w:r w:rsidRPr="000C02F2">
        <w:rPr>
          <w:rFonts w:ascii="Arial" w:hAnsi="Arial" w:cs="Arial"/>
          <w:sz w:val="24"/>
          <w:szCs w:val="23"/>
        </w:rPr>
        <w:t xml:space="preserve">2018 </w:t>
      </w:r>
    </w:p>
    <w:p w:rsidR="002D1E55" w:rsidRPr="000C02F2" w:rsidRDefault="002D1E55" w:rsidP="009D6CF6">
      <w:pPr>
        <w:spacing w:after="0" w:line="276" w:lineRule="auto"/>
        <w:jc w:val="both"/>
        <w:rPr>
          <w:rFonts w:ascii="Arial" w:hAnsi="Arial" w:cs="Arial"/>
          <w:sz w:val="24"/>
          <w:szCs w:val="23"/>
        </w:rPr>
      </w:pPr>
      <w:r w:rsidRPr="000C02F2">
        <w:rPr>
          <w:rFonts w:ascii="Arial" w:hAnsi="Arial" w:cs="Arial"/>
          <w:b/>
          <w:sz w:val="24"/>
          <w:szCs w:val="23"/>
        </w:rPr>
        <w:t>Ementa:</w:t>
      </w:r>
      <w:r w:rsidRPr="000C02F2">
        <w:rPr>
          <w:rFonts w:ascii="Arial" w:hAnsi="Arial" w:cs="Arial"/>
          <w:sz w:val="24"/>
          <w:szCs w:val="23"/>
        </w:rPr>
        <w:t xml:space="preserve"> “</w:t>
      </w:r>
      <w:r w:rsidR="008D5B06" w:rsidRPr="000C02F2">
        <w:rPr>
          <w:rFonts w:ascii="Arial" w:hAnsi="Arial" w:cs="Arial"/>
          <w:sz w:val="24"/>
          <w:szCs w:val="23"/>
        </w:rPr>
        <w:t>Altera dispositivos da Lei Municipal nº 3.617, de 15 de janeiro de 2018, que “cria o cargo de Diretor da Escola do Legislativo de Gramado”.</w:t>
      </w:r>
    </w:p>
    <w:p w:rsidR="002D1E55" w:rsidRPr="000C02F2" w:rsidRDefault="002D1E55" w:rsidP="009D6CF6">
      <w:pPr>
        <w:pStyle w:val="SemEspaamento"/>
        <w:spacing w:line="276" w:lineRule="auto"/>
        <w:jc w:val="both"/>
        <w:rPr>
          <w:rFonts w:ascii="Arial" w:hAnsi="Arial" w:cs="Arial"/>
          <w:bCs/>
          <w:sz w:val="24"/>
          <w:szCs w:val="23"/>
        </w:rPr>
      </w:pPr>
      <w:r w:rsidRPr="000C02F2">
        <w:rPr>
          <w:rFonts w:ascii="Arial" w:hAnsi="Arial" w:cs="Arial"/>
          <w:b/>
          <w:sz w:val="24"/>
          <w:szCs w:val="23"/>
        </w:rPr>
        <w:t>Protocolo:</w:t>
      </w:r>
      <w:r w:rsidRPr="000C02F2">
        <w:rPr>
          <w:rFonts w:ascii="Arial" w:hAnsi="Arial" w:cs="Arial"/>
          <w:sz w:val="24"/>
          <w:szCs w:val="23"/>
        </w:rPr>
        <w:t xml:space="preserve"> </w:t>
      </w:r>
      <w:r w:rsidR="00E85C37" w:rsidRPr="000C02F2">
        <w:rPr>
          <w:rFonts w:ascii="Arial" w:hAnsi="Arial" w:cs="Arial"/>
          <w:sz w:val="24"/>
          <w:szCs w:val="23"/>
        </w:rPr>
        <w:t>19</w:t>
      </w:r>
      <w:r w:rsidRPr="000C02F2">
        <w:rPr>
          <w:rFonts w:ascii="Arial" w:hAnsi="Arial" w:cs="Arial"/>
          <w:sz w:val="24"/>
          <w:szCs w:val="23"/>
        </w:rPr>
        <w:t>/0</w:t>
      </w:r>
      <w:r w:rsidR="00742382" w:rsidRPr="000C02F2">
        <w:rPr>
          <w:rFonts w:ascii="Arial" w:hAnsi="Arial" w:cs="Arial"/>
          <w:sz w:val="24"/>
          <w:szCs w:val="23"/>
        </w:rPr>
        <w:t>3</w:t>
      </w:r>
      <w:r w:rsidRPr="000C02F2">
        <w:rPr>
          <w:rFonts w:ascii="Arial" w:hAnsi="Arial" w:cs="Arial"/>
          <w:sz w:val="24"/>
          <w:szCs w:val="23"/>
        </w:rPr>
        <w:t>/2018</w:t>
      </w: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Autor:</w:t>
      </w:r>
      <w:r w:rsidRPr="000C02F2">
        <w:rPr>
          <w:rFonts w:ascii="Arial" w:hAnsi="Arial" w:cs="Arial"/>
          <w:sz w:val="24"/>
          <w:szCs w:val="23"/>
        </w:rPr>
        <w:t xml:space="preserve"> Poder </w:t>
      </w:r>
      <w:r w:rsidR="008D5B06" w:rsidRPr="000C02F2">
        <w:rPr>
          <w:rFonts w:ascii="Arial" w:hAnsi="Arial" w:cs="Arial"/>
          <w:sz w:val="24"/>
          <w:szCs w:val="23"/>
        </w:rPr>
        <w:t>Legislativo</w:t>
      </w: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Relator:</w:t>
      </w:r>
      <w:r w:rsidRPr="000C02F2">
        <w:rPr>
          <w:rFonts w:ascii="Arial" w:hAnsi="Arial" w:cs="Arial"/>
          <w:sz w:val="24"/>
          <w:szCs w:val="23"/>
        </w:rPr>
        <w:t xml:space="preserve"> Vereador </w:t>
      </w:r>
      <w:r w:rsidR="008D5B06" w:rsidRPr="000C02F2">
        <w:rPr>
          <w:rFonts w:ascii="Arial" w:hAnsi="Arial" w:cs="Arial"/>
          <w:sz w:val="24"/>
          <w:szCs w:val="23"/>
        </w:rPr>
        <w:t xml:space="preserve">Rafael </w:t>
      </w:r>
      <w:proofErr w:type="spellStart"/>
      <w:r w:rsidR="008D5B06" w:rsidRPr="000C02F2">
        <w:rPr>
          <w:rFonts w:ascii="Arial" w:hAnsi="Arial" w:cs="Arial"/>
          <w:sz w:val="24"/>
          <w:szCs w:val="23"/>
        </w:rPr>
        <w:t>Ronsoni</w:t>
      </w:r>
      <w:proofErr w:type="spellEnd"/>
      <w:r w:rsidRPr="000C02F2">
        <w:rPr>
          <w:rFonts w:ascii="Arial" w:hAnsi="Arial" w:cs="Arial"/>
          <w:sz w:val="24"/>
          <w:szCs w:val="23"/>
        </w:rPr>
        <w:t xml:space="preserve">             </w:t>
      </w:r>
    </w:p>
    <w:p w:rsidR="002D1E55" w:rsidRPr="000C02F2" w:rsidRDefault="002D1E55" w:rsidP="009D6CF6">
      <w:pPr>
        <w:pStyle w:val="SemEspaamento"/>
        <w:spacing w:line="276" w:lineRule="auto"/>
        <w:jc w:val="both"/>
        <w:rPr>
          <w:rFonts w:ascii="Arial" w:hAnsi="Arial" w:cs="Arial"/>
          <w:sz w:val="24"/>
          <w:szCs w:val="23"/>
        </w:rPr>
      </w:pPr>
      <w:r w:rsidRPr="000C02F2">
        <w:rPr>
          <w:rFonts w:ascii="Arial" w:hAnsi="Arial" w:cs="Arial"/>
          <w:b/>
          <w:sz w:val="24"/>
          <w:szCs w:val="23"/>
        </w:rPr>
        <w:t>Conclusão do Voto:</w:t>
      </w:r>
      <w:r w:rsidRPr="000C02F2">
        <w:rPr>
          <w:rFonts w:ascii="Arial" w:hAnsi="Arial" w:cs="Arial"/>
          <w:sz w:val="24"/>
          <w:szCs w:val="23"/>
        </w:rPr>
        <w:t xml:space="preserve"> favorável à tramitação da matéria</w:t>
      </w:r>
    </w:p>
    <w:p w:rsidR="002D1E55" w:rsidRPr="000C02F2" w:rsidRDefault="002D1E55" w:rsidP="009D6CF6">
      <w:pPr>
        <w:pStyle w:val="SemEspaamento"/>
        <w:spacing w:line="276" w:lineRule="auto"/>
        <w:jc w:val="both"/>
        <w:rPr>
          <w:rFonts w:ascii="Arial" w:hAnsi="Arial" w:cs="Arial"/>
          <w:sz w:val="24"/>
          <w:szCs w:val="23"/>
        </w:rPr>
      </w:pPr>
    </w:p>
    <w:p w:rsidR="002D1E55" w:rsidRPr="000C02F2" w:rsidRDefault="002D1E55" w:rsidP="009D6CF6">
      <w:pPr>
        <w:pStyle w:val="SemEspaamento"/>
        <w:spacing w:line="276" w:lineRule="auto"/>
        <w:jc w:val="center"/>
        <w:rPr>
          <w:rFonts w:ascii="Arial" w:hAnsi="Arial" w:cs="Arial"/>
          <w:b/>
          <w:sz w:val="24"/>
          <w:szCs w:val="23"/>
        </w:rPr>
      </w:pPr>
      <w:r w:rsidRPr="000C02F2">
        <w:rPr>
          <w:rFonts w:ascii="Arial" w:hAnsi="Arial" w:cs="Arial"/>
          <w:b/>
          <w:sz w:val="24"/>
          <w:szCs w:val="23"/>
        </w:rPr>
        <w:t>Relatório:</w:t>
      </w:r>
    </w:p>
    <w:p w:rsidR="002D1E55" w:rsidRPr="000C02F2" w:rsidRDefault="002D1E55" w:rsidP="009D6CF6">
      <w:pPr>
        <w:pStyle w:val="SemEspaamento"/>
        <w:spacing w:line="276" w:lineRule="auto"/>
        <w:jc w:val="center"/>
        <w:rPr>
          <w:rFonts w:ascii="Arial" w:hAnsi="Arial" w:cs="Arial"/>
          <w:b/>
          <w:sz w:val="24"/>
          <w:szCs w:val="23"/>
        </w:rPr>
      </w:pPr>
    </w:p>
    <w:p w:rsidR="00E85C37" w:rsidRDefault="00742382" w:rsidP="00742382">
      <w:pPr>
        <w:spacing w:line="276" w:lineRule="auto"/>
        <w:ind w:firstLine="1701"/>
        <w:jc w:val="both"/>
        <w:rPr>
          <w:rFonts w:ascii="Arial" w:hAnsi="Arial" w:cs="Arial"/>
          <w:sz w:val="24"/>
          <w:szCs w:val="23"/>
        </w:rPr>
      </w:pPr>
      <w:r w:rsidRPr="000C02F2">
        <w:rPr>
          <w:rFonts w:ascii="Arial" w:hAnsi="Arial" w:cs="Arial"/>
          <w:sz w:val="24"/>
          <w:szCs w:val="23"/>
        </w:rPr>
        <w:t xml:space="preserve">O Projeto de Lei do Legislativo em análise foi apresentado nesta Casa Legislativa no dia </w:t>
      </w:r>
      <w:r w:rsidR="00E85C37" w:rsidRPr="000C02F2">
        <w:rPr>
          <w:rFonts w:ascii="Arial" w:hAnsi="Arial" w:cs="Arial"/>
          <w:sz w:val="24"/>
          <w:szCs w:val="23"/>
        </w:rPr>
        <w:t>19</w:t>
      </w:r>
      <w:r w:rsidRPr="000C02F2">
        <w:rPr>
          <w:rFonts w:ascii="Arial" w:hAnsi="Arial" w:cs="Arial"/>
          <w:sz w:val="24"/>
          <w:szCs w:val="23"/>
        </w:rPr>
        <w:t xml:space="preserve"> de março de 2018, e requer autorização legislativa, para </w:t>
      </w:r>
      <w:r w:rsidR="008D5B06" w:rsidRPr="000C02F2">
        <w:rPr>
          <w:rFonts w:ascii="Arial" w:hAnsi="Arial" w:cs="Arial"/>
          <w:sz w:val="24"/>
          <w:szCs w:val="23"/>
        </w:rPr>
        <w:t>alter</w:t>
      </w:r>
      <w:r w:rsidR="000A1C17">
        <w:rPr>
          <w:rFonts w:ascii="Arial" w:hAnsi="Arial" w:cs="Arial"/>
          <w:sz w:val="24"/>
          <w:szCs w:val="23"/>
        </w:rPr>
        <w:t>ar</w:t>
      </w:r>
      <w:bookmarkStart w:id="0" w:name="_GoBack"/>
      <w:bookmarkEnd w:id="0"/>
      <w:r w:rsidR="008D5B06" w:rsidRPr="000C02F2">
        <w:rPr>
          <w:rFonts w:ascii="Arial" w:hAnsi="Arial" w:cs="Arial"/>
          <w:sz w:val="24"/>
          <w:szCs w:val="23"/>
        </w:rPr>
        <w:t xml:space="preserve"> dispositivos da Lei Municipal nº 3.617, de 15 de janeiro de 2018, que “cria o cargo de Diretor da Escola do Legislativo de Gramado”</w:t>
      </w:r>
      <w:r w:rsidR="008F3BC6" w:rsidRPr="000C02F2">
        <w:rPr>
          <w:rFonts w:ascii="Arial" w:hAnsi="Arial" w:cs="Arial"/>
          <w:sz w:val="24"/>
          <w:szCs w:val="23"/>
        </w:rPr>
        <w:t xml:space="preserve">. Aduz na justificativa, que </w:t>
      </w:r>
      <w:r w:rsidR="008D5B06" w:rsidRPr="000C02F2">
        <w:rPr>
          <w:rFonts w:ascii="Arial" w:hAnsi="Arial" w:cs="Arial"/>
          <w:sz w:val="24"/>
          <w:szCs w:val="23"/>
        </w:rPr>
        <w:t>a iniciativa de alterar a lei, no que concerne a carga horária e formação do cargo está motivada na necessidade de ajustar o texto legal para a realidade vivida no Legislativo, vez que todos os demais cargos do Poder Legislativo cumprem jornada de trabalho de no mínimo 40(quarenta) horas semanais. Sobre a alteração que retira do cargo a exigência de curso superior completo, informa que estar cursando nível superior qualifica o cargo e ao mesmo tempo não restringe que apenas os formados possuam acesso a este cargo público, adequando assim as necessidades do Poder Legislativo, além de simplificar a aplicabilidade da Lei.</w:t>
      </w:r>
    </w:p>
    <w:p w:rsidR="00602F38" w:rsidRPr="000C02F2" w:rsidRDefault="00602F38" w:rsidP="00742382">
      <w:pPr>
        <w:spacing w:line="276" w:lineRule="auto"/>
        <w:ind w:firstLine="1701"/>
        <w:jc w:val="both"/>
        <w:rPr>
          <w:rFonts w:ascii="Arial" w:hAnsi="Arial" w:cs="Arial"/>
          <w:sz w:val="24"/>
          <w:szCs w:val="23"/>
        </w:rPr>
      </w:pPr>
      <w:r w:rsidRPr="00602F38">
        <w:rPr>
          <w:rFonts w:ascii="Arial" w:hAnsi="Arial" w:cs="Arial"/>
          <w:sz w:val="24"/>
          <w:szCs w:val="23"/>
        </w:rPr>
        <w:t xml:space="preserve">Recebido Emenda aditiva nº 03/2018, protocolada em 03/04/2018 pelo Vereador Rafael </w:t>
      </w:r>
      <w:proofErr w:type="spellStart"/>
      <w:r w:rsidRPr="00602F38">
        <w:rPr>
          <w:rFonts w:ascii="Arial" w:hAnsi="Arial" w:cs="Arial"/>
          <w:sz w:val="24"/>
          <w:szCs w:val="23"/>
        </w:rPr>
        <w:t>Ronsoni</w:t>
      </w:r>
      <w:proofErr w:type="spellEnd"/>
      <w:r w:rsidRPr="00602F38">
        <w:rPr>
          <w:rFonts w:ascii="Arial" w:hAnsi="Arial" w:cs="Arial"/>
          <w:sz w:val="24"/>
          <w:szCs w:val="23"/>
        </w:rPr>
        <w:t>, alterando o art. 6º da Lei nº 3.617/2018, para reduzir o valor da remuneração de R$ 4.095,72 para R$ 3.695,72, justificada pela exclusão da obrigação de ensino superior para nomeação do servidor, tornando assim a remuneração mais condizente com as exigências propostas.</w:t>
      </w:r>
    </w:p>
    <w:p w:rsidR="00742382" w:rsidRPr="000C02F2" w:rsidRDefault="00742382" w:rsidP="00742382">
      <w:pPr>
        <w:spacing w:line="276" w:lineRule="auto"/>
        <w:ind w:firstLine="1701"/>
        <w:jc w:val="both"/>
        <w:rPr>
          <w:rFonts w:ascii="Arial" w:hAnsi="Arial" w:cs="Arial"/>
          <w:sz w:val="24"/>
          <w:szCs w:val="23"/>
        </w:rPr>
      </w:pPr>
      <w:r w:rsidRPr="000C02F2">
        <w:rPr>
          <w:rFonts w:ascii="Arial" w:hAnsi="Arial" w:cs="Arial"/>
          <w:sz w:val="24"/>
          <w:szCs w:val="23"/>
        </w:rPr>
        <w:t>O projeto</w:t>
      </w:r>
      <w:r w:rsidR="008F4ADC">
        <w:rPr>
          <w:rFonts w:ascii="Arial" w:hAnsi="Arial" w:cs="Arial"/>
          <w:sz w:val="24"/>
          <w:szCs w:val="23"/>
        </w:rPr>
        <w:t xml:space="preserve"> e a emenda</w:t>
      </w:r>
      <w:r w:rsidRPr="000C02F2">
        <w:rPr>
          <w:rFonts w:ascii="Arial" w:hAnsi="Arial" w:cs="Arial"/>
          <w:sz w:val="24"/>
          <w:szCs w:val="23"/>
        </w:rPr>
        <w:t xml:space="preserve"> já fo</w:t>
      </w:r>
      <w:r w:rsidR="008F4ADC">
        <w:rPr>
          <w:rFonts w:ascii="Arial" w:hAnsi="Arial" w:cs="Arial"/>
          <w:sz w:val="24"/>
          <w:szCs w:val="23"/>
        </w:rPr>
        <w:t>ram</w:t>
      </w:r>
      <w:r w:rsidRPr="000C02F2">
        <w:rPr>
          <w:rFonts w:ascii="Arial" w:hAnsi="Arial" w:cs="Arial"/>
          <w:sz w:val="24"/>
          <w:szCs w:val="23"/>
        </w:rPr>
        <w:t xml:space="preserve"> analisado</w:t>
      </w:r>
      <w:r w:rsidR="008F4ADC">
        <w:rPr>
          <w:rFonts w:ascii="Arial" w:hAnsi="Arial" w:cs="Arial"/>
          <w:sz w:val="24"/>
          <w:szCs w:val="23"/>
        </w:rPr>
        <w:t>s</w:t>
      </w:r>
      <w:r w:rsidRPr="000C02F2">
        <w:rPr>
          <w:rFonts w:ascii="Arial" w:hAnsi="Arial" w:cs="Arial"/>
          <w:sz w:val="24"/>
          <w:szCs w:val="23"/>
        </w:rPr>
        <w:t xml:space="preserve"> pela Procuradora Geral da Casa, a qual proferiu Orientação Jurídica nº </w:t>
      </w:r>
      <w:r w:rsidR="004E06F0" w:rsidRPr="000C02F2">
        <w:rPr>
          <w:rFonts w:ascii="Arial" w:hAnsi="Arial" w:cs="Arial"/>
          <w:sz w:val="24"/>
          <w:szCs w:val="23"/>
        </w:rPr>
        <w:t>2</w:t>
      </w:r>
      <w:r w:rsidR="00620870" w:rsidRPr="000C02F2">
        <w:rPr>
          <w:rFonts w:ascii="Arial" w:hAnsi="Arial" w:cs="Arial"/>
          <w:sz w:val="24"/>
          <w:szCs w:val="23"/>
        </w:rPr>
        <w:t>4</w:t>
      </w:r>
      <w:r w:rsidRPr="000C02F2">
        <w:rPr>
          <w:rFonts w:ascii="Arial" w:hAnsi="Arial" w:cs="Arial"/>
          <w:sz w:val="24"/>
          <w:szCs w:val="23"/>
        </w:rPr>
        <w:t xml:space="preserve">/2018, </w:t>
      </w:r>
      <w:r w:rsidRPr="000C02F2">
        <w:rPr>
          <w:rFonts w:ascii="Arial" w:hAnsi="Arial" w:cs="Arial"/>
          <w:bCs/>
          <w:sz w:val="24"/>
          <w:szCs w:val="23"/>
        </w:rPr>
        <w:t xml:space="preserve">favorável </w:t>
      </w:r>
      <w:r w:rsidRPr="000C02F2">
        <w:rPr>
          <w:rFonts w:ascii="Arial" w:hAnsi="Arial" w:cs="Arial"/>
          <w:sz w:val="24"/>
          <w:szCs w:val="23"/>
        </w:rPr>
        <w:t xml:space="preserve">à tramitação, pois atende as normas legais impostas, estando presentes a </w:t>
      </w:r>
      <w:r w:rsidRPr="000C02F2">
        <w:rPr>
          <w:rFonts w:ascii="Arial" w:hAnsi="Arial" w:cs="Arial"/>
          <w:sz w:val="24"/>
          <w:szCs w:val="23"/>
        </w:rPr>
        <w:lastRenderedPageBreak/>
        <w:t>legalidade e constitucionalidade.</w:t>
      </w:r>
      <w:r w:rsidRPr="000C02F2">
        <w:rPr>
          <w:rFonts w:ascii="Arial" w:hAnsi="Arial" w:cs="Arial"/>
          <w:bCs/>
          <w:sz w:val="24"/>
          <w:szCs w:val="23"/>
        </w:rPr>
        <w:t xml:space="preserve"> </w:t>
      </w:r>
      <w:r w:rsidRPr="000C02F2">
        <w:rPr>
          <w:rFonts w:ascii="Arial" w:hAnsi="Arial" w:cs="Arial"/>
          <w:sz w:val="24"/>
          <w:szCs w:val="23"/>
        </w:rPr>
        <w:t>Tal orientação jurídica embasa a elaboração do presente parecer.</w:t>
      </w:r>
    </w:p>
    <w:p w:rsidR="000E2A67" w:rsidRPr="000C02F2" w:rsidRDefault="00487662" w:rsidP="009D6CF6">
      <w:pPr>
        <w:tabs>
          <w:tab w:val="left" w:pos="1418"/>
          <w:tab w:val="left" w:pos="5059"/>
        </w:tabs>
        <w:spacing w:line="276" w:lineRule="auto"/>
        <w:jc w:val="center"/>
        <w:rPr>
          <w:rFonts w:ascii="Arial" w:eastAsia="Calibri" w:hAnsi="Arial" w:cs="Arial"/>
          <w:b/>
          <w:sz w:val="24"/>
          <w:szCs w:val="23"/>
        </w:rPr>
      </w:pPr>
      <w:r w:rsidRPr="000C02F2">
        <w:rPr>
          <w:rFonts w:ascii="Arial" w:eastAsia="Calibri" w:hAnsi="Arial" w:cs="Arial"/>
          <w:b/>
          <w:sz w:val="24"/>
          <w:szCs w:val="23"/>
        </w:rPr>
        <w:t>Análise</w:t>
      </w:r>
      <w:r w:rsidR="000E2A67" w:rsidRPr="000C02F2">
        <w:rPr>
          <w:rFonts w:ascii="Arial" w:eastAsia="Calibri" w:hAnsi="Arial" w:cs="Arial"/>
          <w:b/>
          <w:sz w:val="24"/>
          <w:szCs w:val="23"/>
        </w:rPr>
        <w:t xml:space="preserve">: </w:t>
      </w:r>
    </w:p>
    <w:p w:rsidR="000E2A67" w:rsidRPr="000C02F2" w:rsidRDefault="000E2A67" w:rsidP="009D6CF6">
      <w:pPr>
        <w:tabs>
          <w:tab w:val="left" w:pos="1418"/>
          <w:tab w:val="left" w:pos="5059"/>
        </w:tabs>
        <w:spacing w:line="276" w:lineRule="auto"/>
        <w:rPr>
          <w:rFonts w:ascii="Arial" w:eastAsia="Calibri" w:hAnsi="Arial" w:cs="Arial"/>
          <w:b/>
          <w:sz w:val="24"/>
          <w:szCs w:val="23"/>
        </w:rPr>
      </w:pPr>
      <w:r w:rsidRPr="000C02F2">
        <w:rPr>
          <w:rFonts w:ascii="Arial" w:eastAsia="Calibri" w:hAnsi="Arial" w:cs="Arial"/>
          <w:b/>
          <w:sz w:val="24"/>
          <w:szCs w:val="23"/>
        </w:rPr>
        <w:t xml:space="preserve">I – Quanto à área de Legislação </w:t>
      </w:r>
    </w:p>
    <w:p w:rsidR="000E2A67" w:rsidRPr="000C02F2" w:rsidRDefault="000E2A67" w:rsidP="009D6CF6">
      <w:pPr>
        <w:tabs>
          <w:tab w:val="left" w:pos="1418"/>
          <w:tab w:val="left" w:pos="5059"/>
        </w:tabs>
        <w:spacing w:line="276" w:lineRule="auto"/>
        <w:rPr>
          <w:rFonts w:ascii="Arial" w:eastAsia="Calibri" w:hAnsi="Arial" w:cs="Arial"/>
          <w:b/>
          <w:sz w:val="24"/>
          <w:szCs w:val="23"/>
        </w:rPr>
      </w:pPr>
      <w:r w:rsidRPr="000C02F2">
        <w:rPr>
          <w:rFonts w:ascii="Arial" w:eastAsia="Calibri" w:hAnsi="Arial" w:cs="Arial"/>
          <w:b/>
          <w:sz w:val="24"/>
          <w:szCs w:val="23"/>
        </w:rPr>
        <w:t>Art. 54, I, do Regimento Interno desta Casa:</w:t>
      </w:r>
    </w:p>
    <w:p w:rsidR="00F71802" w:rsidRPr="000C02F2" w:rsidRDefault="00F71802" w:rsidP="009D6CF6">
      <w:pPr>
        <w:tabs>
          <w:tab w:val="left" w:pos="1418"/>
          <w:tab w:val="left" w:pos="5059"/>
        </w:tabs>
        <w:spacing w:line="276" w:lineRule="auto"/>
        <w:rPr>
          <w:rFonts w:ascii="Arial" w:eastAsia="Calibri" w:hAnsi="Arial" w:cs="Arial"/>
          <w:b/>
          <w:sz w:val="24"/>
          <w:szCs w:val="23"/>
        </w:rPr>
      </w:pPr>
    </w:p>
    <w:p w:rsidR="000E2A67" w:rsidRPr="000C02F2" w:rsidRDefault="000E2A67" w:rsidP="009D6CF6">
      <w:pPr>
        <w:autoSpaceDE w:val="0"/>
        <w:autoSpaceDN w:val="0"/>
        <w:adjustRightInd w:val="0"/>
        <w:spacing w:after="0" w:line="276" w:lineRule="auto"/>
        <w:jc w:val="center"/>
        <w:rPr>
          <w:rFonts w:ascii="Arial" w:hAnsi="Arial" w:cs="Arial"/>
          <w:b/>
          <w:bCs/>
          <w:color w:val="000000"/>
          <w:sz w:val="24"/>
          <w:szCs w:val="23"/>
          <w:u w:val="single"/>
        </w:rPr>
      </w:pPr>
      <w:r w:rsidRPr="000C02F2">
        <w:rPr>
          <w:rFonts w:ascii="Arial" w:hAnsi="Arial" w:cs="Arial"/>
          <w:b/>
          <w:bCs/>
          <w:color w:val="000000"/>
          <w:sz w:val="24"/>
          <w:szCs w:val="23"/>
          <w:u w:val="single"/>
        </w:rPr>
        <w:t>Da Competência e Iniciativa</w:t>
      </w:r>
    </w:p>
    <w:p w:rsidR="005065DA" w:rsidRPr="000C02F2" w:rsidRDefault="005065DA" w:rsidP="009D6CF6">
      <w:pPr>
        <w:autoSpaceDE w:val="0"/>
        <w:autoSpaceDN w:val="0"/>
        <w:adjustRightInd w:val="0"/>
        <w:spacing w:after="0" w:line="276" w:lineRule="auto"/>
        <w:jc w:val="center"/>
        <w:rPr>
          <w:rFonts w:ascii="Arial" w:hAnsi="Arial" w:cs="Arial"/>
          <w:color w:val="000000"/>
          <w:sz w:val="24"/>
          <w:szCs w:val="23"/>
          <w:u w:val="single"/>
        </w:rPr>
      </w:pPr>
    </w:p>
    <w:p w:rsidR="00620870" w:rsidRPr="000C02F2"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O projeto versa sobre a criação do cargo de Diretor da escola do Legislativo de Gramado, em face da criação da referida Escola, sendo neste momento proposto alguns ajustes no seu texto original, oriundo da Lei Municipal nº 3.617/2018. </w:t>
      </w:r>
    </w:p>
    <w:p w:rsidR="00620870" w:rsidRPr="000C02F2"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Quanto à competência para legislar sobre a matéria, a Lei Orgânica assim estabelece: </w:t>
      </w:r>
    </w:p>
    <w:p w:rsidR="00D37A7F"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Art. 6º Compete ao Município no exercício de sua autonomia: </w:t>
      </w:r>
    </w:p>
    <w:p w:rsidR="00D37A7F"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I - organizar-se administrativamente, observadas as legislações federal e estadual; I</w:t>
      </w:r>
    </w:p>
    <w:p w:rsidR="00D37A7F"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I - </w:t>
      </w:r>
      <w:proofErr w:type="gramStart"/>
      <w:r w:rsidRPr="000C02F2">
        <w:rPr>
          <w:rFonts w:ascii="Arial" w:hAnsi="Arial" w:cs="Arial"/>
          <w:bCs/>
          <w:sz w:val="24"/>
          <w:szCs w:val="23"/>
        </w:rPr>
        <w:t>elaborar</w:t>
      </w:r>
      <w:proofErr w:type="gramEnd"/>
      <w:r w:rsidRPr="000C02F2">
        <w:rPr>
          <w:rFonts w:ascii="Arial" w:hAnsi="Arial" w:cs="Arial"/>
          <w:bCs/>
          <w:sz w:val="24"/>
          <w:szCs w:val="23"/>
        </w:rPr>
        <w:t xml:space="preserve"> suas leis, expedir decretos e atos relativos aos assuntos de seu peculiar interesse; </w:t>
      </w:r>
    </w:p>
    <w:p w:rsidR="00E85C37" w:rsidRPr="000C02F2"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VI - </w:t>
      </w:r>
      <w:proofErr w:type="gramStart"/>
      <w:r w:rsidRPr="000C02F2">
        <w:rPr>
          <w:rFonts w:ascii="Arial" w:hAnsi="Arial" w:cs="Arial"/>
          <w:bCs/>
          <w:sz w:val="24"/>
          <w:szCs w:val="23"/>
        </w:rPr>
        <w:t>organizar</w:t>
      </w:r>
      <w:proofErr w:type="gramEnd"/>
      <w:r w:rsidRPr="000C02F2">
        <w:rPr>
          <w:rFonts w:ascii="Arial" w:hAnsi="Arial" w:cs="Arial"/>
          <w:bCs/>
          <w:sz w:val="24"/>
          <w:szCs w:val="23"/>
        </w:rPr>
        <w:t xml:space="preserve"> os quadros e estabelecer o regime de trabalho de seus servidores públicos do Município, das autarquias e fundações públicas, observados os princípios da Constituição Federal e desta Lei Orgânica Municipal;</w:t>
      </w:r>
    </w:p>
    <w:p w:rsidR="00D37A7F"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Art. 36 É da competência exclusiva da Câmara Municipal: </w:t>
      </w:r>
    </w:p>
    <w:p w:rsidR="00620870" w:rsidRPr="000C02F2"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 xml:space="preserve">(...) II - propor a criação e extinção de cargos de seu quadro de pessoal e serviços, dispor sobre o provimento dos mesmos, bem como fixar e alterar seus vencimentos e outras vantagens; </w:t>
      </w:r>
    </w:p>
    <w:p w:rsidR="00620870" w:rsidRDefault="00620870" w:rsidP="00B65520">
      <w:pPr>
        <w:pStyle w:val="SemEspaamento"/>
        <w:spacing w:line="276" w:lineRule="auto"/>
        <w:ind w:firstLine="2268"/>
        <w:jc w:val="both"/>
        <w:rPr>
          <w:rFonts w:ascii="Arial" w:hAnsi="Arial" w:cs="Arial"/>
          <w:bCs/>
          <w:sz w:val="24"/>
          <w:szCs w:val="23"/>
        </w:rPr>
      </w:pPr>
      <w:r w:rsidRPr="000C02F2">
        <w:rPr>
          <w:rFonts w:ascii="Arial" w:hAnsi="Arial" w:cs="Arial"/>
          <w:bCs/>
          <w:sz w:val="24"/>
          <w:szCs w:val="23"/>
        </w:rPr>
        <w:t>Desta forma, a normatização apresentada não está presente nas vedações impostas pelo art. 61, § 1º, da CF, cuja competência é privativa do Chefe do Poder Executivo, de sorte que por exclusão, o presente PL encontra-se em conformidade com as normas legais vigentes, podendo ser proposto por iniciativa de vereador. Assim, NÃO se registra qualquer vício de origem na presente propositura.</w:t>
      </w:r>
    </w:p>
    <w:p w:rsidR="00D37A7F" w:rsidRPr="000C02F2" w:rsidRDefault="00D37A7F" w:rsidP="00B65520">
      <w:pPr>
        <w:pStyle w:val="SemEspaamento"/>
        <w:spacing w:line="276" w:lineRule="auto"/>
        <w:ind w:firstLine="2268"/>
        <w:jc w:val="both"/>
        <w:rPr>
          <w:rFonts w:ascii="Arial" w:hAnsi="Arial" w:cs="Arial"/>
          <w:bCs/>
          <w:sz w:val="24"/>
          <w:szCs w:val="23"/>
        </w:rPr>
      </w:pPr>
    </w:p>
    <w:p w:rsidR="000E2A67" w:rsidRPr="000C02F2" w:rsidRDefault="000E2A67" w:rsidP="009D6CF6">
      <w:pPr>
        <w:pStyle w:val="SemEspaamento"/>
        <w:spacing w:line="276" w:lineRule="auto"/>
        <w:jc w:val="center"/>
        <w:rPr>
          <w:rFonts w:ascii="Arial" w:hAnsi="Arial" w:cs="Arial"/>
          <w:b/>
          <w:bCs/>
          <w:sz w:val="24"/>
          <w:szCs w:val="23"/>
          <w:u w:val="single"/>
        </w:rPr>
      </w:pPr>
      <w:r w:rsidRPr="000C02F2">
        <w:rPr>
          <w:rFonts w:ascii="Arial" w:hAnsi="Arial" w:cs="Arial"/>
          <w:b/>
          <w:bCs/>
          <w:sz w:val="24"/>
          <w:szCs w:val="23"/>
          <w:u w:val="single"/>
        </w:rPr>
        <w:t>Da constitucionalidade e legalidade</w:t>
      </w:r>
    </w:p>
    <w:p w:rsidR="004E06F0" w:rsidRPr="000C02F2" w:rsidRDefault="004E06F0" w:rsidP="009D6CF6">
      <w:pPr>
        <w:pStyle w:val="SemEspaamento"/>
        <w:spacing w:line="276" w:lineRule="auto"/>
        <w:jc w:val="center"/>
        <w:rPr>
          <w:rFonts w:ascii="Arial" w:hAnsi="Arial" w:cs="Arial"/>
          <w:bCs/>
          <w:sz w:val="24"/>
          <w:szCs w:val="23"/>
        </w:rPr>
      </w:pPr>
    </w:p>
    <w:p w:rsidR="000C02F2" w:rsidRPr="000C02F2" w:rsidRDefault="000C02F2" w:rsidP="00A14C4C">
      <w:pPr>
        <w:pStyle w:val="SemEspaamento"/>
        <w:spacing w:line="276" w:lineRule="auto"/>
        <w:ind w:firstLine="2268"/>
        <w:jc w:val="both"/>
        <w:rPr>
          <w:rFonts w:ascii="Arial" w:hAnsi="Arial" w:cs="Arial"/>
          <w:sz w:val="24"/>
          <w:szCs w:val="23"/>
        </w:rPr>
      </w:pPr>
      <w:r w:rsidRPr="000C02F2">
        <w:rPr>
          <w:rFonts w:ascii="Arial" w:hAnsi="Arial" w:cs="Arial"/>
          <w:sz w:val="24"/>
          <w:szCs w:val="23"/>
        </w:rPr>
        <w:lastRenderedPageBreak/>
        <w:t xml:space="preserve">Na Constituição Federal dispõe o seu artigo 37: </w:t>
      </w:r>
    </w:p>
    <w:p w:rsidR="000C02F2" w:rsidRPr="000C02F2" w:rsidRDefault="000C02F2" w:rsidP="00A14C4C">
      <w:pPr>
        <w:pStyle w:val="SemEspaamento"/>
        <w:spacing w:line="276" w:lineRule="auto"/>
        <w:ind w:firstLine="2268"/>
        <w:jc w:val="both"/>
        <w:rPr>
          <w:rFonts w:ascii="Arial" w:hAnsi="Arial" w:cs="Arial"/>
          <w:i/>
          <w:sz w:val="20"/>
          <w:szCs w:val="23"/>
        </w:rPr>
      </w:pPr>
      <w:r w:rsidRPr="000C02F2">
        <w:rPr>
          <w:rFonts w:ascii="Arial" w:hAnsi="Arial" w:cs="Arial"/>
          <w:i/>
          <w:sz w:val="20"/>
          <w:szCs w:val="23"/>
        </w:rPr>
        <w:t xml:space="preserve">Art. 37. A administração pública direta e indireta de qualquer dos Poderes da União, dos Estados, do Distrito Federal e dos Municípios obedecerá aos princípios de legalidade, impessoalidade, moralidade, publicidade e eficiência e, também, ao seguinte: I - os cargos, empregos e funções públicas são acessíveis aos brasileiros que preencham os requisitos estabelecidos em lei, assim como aos estrangeiros, na forma da lei; 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 (...) </w:t>
      </w:r>
    </w:p>
    <w:p w:rsidR="000C02F2" w:rsidRPr="000C02F2" w:rsidRDefault="000C02F2" w:rsidP="00A14C4C">
      <w:pPr>
        <w:pStyle w:val="SemEspaamento"/>
        <w:spacing w:line="276" w:lineRule="auto"/>
        <w:ind w:firstLine="2268"/>
        <w:jc w:val="both"/>
        <w:rPr>
          <w:rFonts w:ascii="Arial" w:hAnsi="Arial" w:cs="Arial"/>
          <w:sz w:val="24"/>
          <w:szCs w:val="23"/>
        </w:rPr>
      </w:pPr>
      <w:r w:rsidRPr="000C02F2">
        <w:rPr>
          <w:rFonts w:ascii="Arial" w:hAnsi="Arial" w:cs="Arial"/>
          <w:sz w:val="24"/>
          <w:szCs w:val="23"/>
        </w:rPr>
        <w:t xml:space="preserve">Quanto a materialidade, a possibilidade de serem criados cargos na Câmara Municipal, dispõe o Regimento Interno: </w:t>
      </w:r>
    </w:p>
    <w:p w:rsidR="000C02F2" w:rsidRPr="000C02F2" w:rsidRDefault="000C02F2" w:rsidP="00A14C4C">
      <w:pPr>
        <w:pStyle w:val="SemEspaamento"/>
        <w:spacing w:line="276" w:lineRule="auto"/>
        <w:ind w:firstLine="2268"/>
        <w:jc w:val="both"/>
        <w:rPr>
          <w:rFonts w:ascii="Arial" w:hAnsi="Arial" w:cs="Arial"/>
          <w:i/>
          <w:sz w:val="20"/>
          <w:szCs w:val="23"/>
        </w:rPr>
      </w:pPr>
      <w:r w:rsidRPr="000C02F2">
        <w:rPr>
          <w:rFonts w:ascii="Arial" w:hAnsi="Arial" w:cs="Arial"/>
          <w:i/>
          <w:sz w:val="20"/>
          <w:szCs w:val="23"/>
        </w:rPr>
        <w:t xml:space="preserve">Art. 9º Os serviços administrativos da Câmara serão executados pelos setores específicos e reger-se-ão pelas disposições reguladas pela Mesa, por legislação ou resolução específica, bem como por este Regimento. </w:t>
      </w:r>
    </w:p>
    <w:p w:rsidR="008F3BC6" w:rsidRPr="000C02F2" w:rsidRDefault="000C02F2" w:rsidP="00A14C4C">
      <w:pPr>
        <w:pStyle w:val="SemEspaamento"/>
        <w:spacing w:line="276" w:lineRule="auto"/>
        <w:ind w:firstLine="2268"/>
        <w:jc w:val="both"/>
        <w:rPr>
          <w:rFonts w:ascii="Arial" w:hAnsi="Arial" w:cs="Arial"/>
          <w:i/>
          <w:sz w:val="20"/>
          <w:szCs w:val="23"/>
        </w:rPr>
      </w:pPr>
      <w:r w:rsidRPr="000C02F2">
        <w:rPr>
          <w:rFonts w:ascii="Arial" w:hAnsi="Arial" w:cs="Arial"/>
          <w:i/>
          <w:sz w:val="20"/>
          <w:szCs w:val="23"/>
        </w:rPr>
        <w:t>Art. 10 A nomeação, exoneração, demissão e demais atos de administração do funcionalismo da Câmara devem ser firmados pelo Presidente, de conformidade com a legislação em vigor e com o Estatuto dos Funcionários Públicos Municipais.</w:t>
      </w:r>
    </w:p>
    <w:p w:rsidR="000C02F2" w:rsidRDefault="000C02F2" w:rsidP="00A14C4C">
      <w:pPr>
        <w:pStyle w:val="SemEspaamento"/>
        <w:spacing w:line="276" w:lineRule="auto"/>
        <w:ind w:firstLine="2268"/>
        <w:jc w:val="both"/>
        <w:rPr>
          <w:rFonts w:ascii="Arial" w:hAnsi="Arial" w:cs="Arial"/>
          <w:i/>
          <w:sz w:val="20"/>
          <w:szCs w:val="23"/>
        </w:rPr>
      </w:pPr>
      <w:r w:rsidRPr="000C02F2">
        <w:rPr>
          <w:rFonts w:ascii="Arial" w:hAnsi="Arial" w:cs="Arial"/>
          <w:i/>
          <w:sz w:val="20"/>
          <w:szCs w:val="23"/>
        </w:rPr>
        <w:t>Art. 11 Observando o disposto na Lei Orgânica, a criação e a extinção dos cargos da Câmara, bem como a fixação e alteração de seus vencimentos, dependerão de projeto de exclusiva iniciativa da Mesa do Legislativo Municipal. Assim, percebe-se que a Câmara Municipal possui legitimidade para criar e nomear seus cargos em comissão, como também dispor sobre as condições para sua nomeação.</w:t>
      </w:r>
    </w:p>
    <w:p w:rsidR="00E229A5" w:rsidRDefault="00E229A5" w:rsidP="00A14C4C">
      <w:pPr>
        <w:pStyle w:val="SemEspaamento"/>
        <w:spacing w:line="276" w:lineRule="auto"/>
        <w:ind w:firstLine="2268"/>
        <w:jc w:val="both"/>
        <w:rPr>
          <w:rFonts w:ascii="Arial" w:hAnsi="Arial" w:cs="Arial"/>
          <w:i/>
          <w:sz w:val="20"/>
          <w:szCs w:val="23"/>
        </w:rPr>
      </w:pPr>
    </w:p>
    <w:p w:rsidR="00E229A5" w:rsidRPr="000864E9" w:rsidRDefault="00E229A5" w:rsidP="00A14C4C">
      <w:pPr>
        <w:pStyle w:val="SemEspaamento"/>
        <w:spacing w:line="276" w:lineRule="auto"/>
        <w:ind w:firstLine="2268"/>
        <w:jc w:val="both"/>
        <w:rPr>
          <w:rFonts w:ascii="Arial" w:hAnsi="Arial" w:cs="Arial"/>
          <w:sz w:val="24"/>
          <w:szCs w:val="24"/>
        </w:rPr>
      </w:pPr>
      <w:r w:rsidRPr="000864E9">
        <w:rPr>
          <w:rFonts w:ascii="Arial" w:hAnsi="Arial" w:cs="Arial"/>
          <w:sz w:val="24"/>
          <w:szCs w:val="24"/>
        </w:rPr>
        <w:t>Assim, percebe-se que a Câmara Municipal possui legitimidade para criar e nomear seus cargos em comissão, como também dispor sobre as condições para sua nomeação.</w:t>
      </w:r>
    </w:p>
    <w:p w:rsidR="00620870" w:rsidRPr="0088510D" w:rsidRDefault="00620870" w:rsidP="00A14C4C">
      <w:pPr>
        <w:pStyle w:val="SemEspaamento"/>
        <w:spacing w:line="276" w:lineRule="auto"/>
        <w:ind w:firstLine="2268"/>
        <w:jc w:val="both"/>
        <w:rPr>
          <w:rFonts w:ascii="Arial" w:hAnsi="Arial" w:cs="Arial"/>
          <w:sz w:val="23"/>
          <w:szCs w:val="23"/>
        </w:rPr>
      </w:pPr>
    </w:p>
    <w:p w:rsidR="000E2A67" w:rsidRPr="000C02F2" w:rsidRDefault="000E2A67" w:rsidP="00267F04">
      <w:pPr>
        <w:pStyle w:val="SemEspaamento"/>
        <w:spacing w:line="276" w:lineRule="auto"/>
        <w:jc w:val="both"/>
        <w:rPr>
          <w:rFonts w:ascii="Arial" w:eastAsia="Calibri" w:hAnsi="Arial" w:cs="Arial"/>
          <w:b/>
          <w:sz w:val="24"/>
          <w:szCs w:val="23"/>
        </w:rPr>
      </w:pPr>
      <w:r w:rsidRPr="000C02F2">
        <w:rPr>
          <w:rFonts w:ascii="Arial" w:eastAsia="Calibri" w:hAnsi="Arial" w:cs="Arial"/>
          <w:b/>
          <w:sz w:val="24"/>
          <w:szCs w:val="23"/>
        </w:rPr>
        <w:t xml:space="preserve">I – Quanto à área de Redação Final </w:t>
      </w:r>
    </w:p>
    <w:p w:rsidR="000E2A67" w:rsidRPr="000C02F2" w:rsidRDefault="000E2A67" w:rsidP="009D6CF6">
      <w:pPr>
        <w:pStyle w:val="SemEspaamento"/>
        <w:spacing w:line="276" w:lineRule="auto"/>
        <w:jc w:val="both"/>
        <w:rPr>
          <w:rFonts w:ascii="Arial" w:eastAsia="Calibri" w:hAnsi="Arial" w:cs="Arial"/>
          <w:b/>
          <w:sz w:val="24"/>
          <w:szCs w:val="23"/>
        </w:rPr>
      </w:pPr>
      <w:r w:rsidRPr="000C02F2">
        <w:rPr>
          <w:rFonts w:ascii="Arial" w:eastAsia="Calibri" w:hAnsi="Arial" w:cs="Arial"/>
          <w:b/>
          <w:sz w:val="24"/>
          <w:szCs w:val="23"/>
        </w:rPr>
        <w:t>Art. 54, II, do Regimento Interno desta Casa:</w:t>
      </w:r>
    </w:p>
    <w:p w:rsidR="00E85C37" w:rsidRPr="000C02F2" w:rsidRDefault="00E85C37" w:rsidP="009D6CF6">
      <w:pPr>
        <w:pStyle w:val="SemEspaamento"/>
        <w:spacing w:line="276" w:lineRule="auto"/>
        <w:jc w:val="both"/>
        <w:rPr>
          <w:rFonts w:ascii="Arial" w:eastAsia="Calibri" w:hAnsi="Arial" w:cs="Arial"/>
          <w:b/>
          <w:sz w:val="24"/>
          <w:szCs w:val="23"/>
        </w:rPr>
      </w:pPr>
    </w:p>
    <w:p w:rsidR="00F751A1" w:rsidRPr="000C02F2" w:rsidRDefault="00F751A1" w:rsidP="009D6CF6">
      <w:pPr>
        <w:pStyle w:val="SemEspaamento"/>
        <w:spacing w:line="276" w:lineRule="auto"/>
        <w:jc w:val="center"/>
        <w:rPr>
          <w:rFonts w:ascii="Arial" w:hAnsi="Arial" w:cs="Arial"/>
          <w:b/>
          <w:bCs/>
          <w:sz w:val="24"/>
          <w:szCs w:val="23"/>
          <w:u w:val="single"/>
        </w:rPr>
      </w:pPr>
      <w:r w:rsidRPr="000C02F2">
        <w:rPr>
          <w:rFonts w:ascii="Arial" w:hAnsi="Arial" w:cs="Arial"/>
          <w:b/>
          <w:bCs/>
          <w:sz w:val="24"/>
          <w:szCs w:val="23"/>
          <w:u w:val="single"/>
        </w:rPr>
        <w:t>Da Técnica Legislativa</w:t>
      </w:r>
    </w:p>
    <w:p w:rsidR="00E85C37" w:rsidRPr="000C02F2" w:rsidRDefault="00E85C37" w:rsidP="009D6CF6">
      <w:pPr>
        <w:pStyle w:val="SemEspaamento"/>
        <w:spacing w:line="276" w:lineRule="auto"/>
        <w:jc w:val="center"/>
        <w:rPr>
          <w:rFonts w:ascii="Arial" w:hAnsi="Arial" w:cs="Arial"/>
          <w:b/>
          <w:bCs/>
          <w:sz w:val="24"/>
          <w:szCs w:val="23"/>
          <w:u w:val="single"/>
        </w:rPr>
      </w:pPr>
    </w:p>
    <w:p w:rsidR="00620870" w:rsidRPr="000C02F2" w:rsidRDefault="00620870" w:rsidP="00620870">
      <w:pPr>
        <w:pStyle w:val="SemEspaamento"/>
        <w:spacing w:line="276" w:lineRule="auto"/>
        <w:ind w:firstLine="1843"/>
        <w:jc w:val="both"/>
        <w:rPr>
          <w:rFonts w:ascii="Arial" w:hAnsi="Arial" w:cs="Arial"/>
          <w:sz w:val="24"/>
          <w:szCs w:val="23"/>
        </w:rPr>
      </w:pPr>
      <w:r w:rsidRPr="000C02F2">
        <w:rPr>
          <w:rFonts w:ascii="Arial" w:hAnsi="Arial" w:cs="Arial"/>
          <w:sz w:val="24"/>
          <w:szCs w:val="23"/>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F751A1" w:rsidRPr="000C02F2" w:rsidRDefault="00620870" w:rsidP="00620870">
      <w:pPr>
        <w:pStyle w:val="SemEspaamento"/>
        <w:spacing w:line="276" w:lineRule="auto"/>
        <w:ind w:firstLine="1843"/>
        <w:jc w:val="both"/>
        <w:rPr>
          <w:rFonts w:ascii="Arial" w:hAnsi="Arial" w:cs="Arial"/>
          <w:sz w:val="24"/>
          <w:szCs w:val="23"/>
        </w:rPr>
      </w:pPr>
      <w:r w:rsidRPr="000C02F2">
        <w:rPr>
          <w:rFonts w:ascii="Arial" w:hAnsi="Arial" w:cs="Arial"/>
          <w:sz w:val="24"/>
          <w:szCs w:val="23"/>
        </w:rPr>
        <w:t>Neste quesito, observamos que o presente PL é bastante enxuto, composto por apenas três artigos, e apresenta pequenas falhas na técnica legislativa, o que sugerimos seja ajustado na redação final, alinhando aos padrões técnicos exigidos pela Lei Complementar nº 95/1998.</w:t>
      </w:r>
    </w:p>
    <w:p w:rsidR="00620870" w:rsidRPr="000C02F2" w:rsidRDefault="00620870" w:rsidP="00620870">
      <w:pPr>
        <w:pStyle w:val="SemEspaamento"/>
        <w:spacing w:line="276" w:lineRule="auto"/>
        <w:ind w:firstLine="1843"/>
        <w:jc w:val="both"/>
        <w:rPr>
          <w:rFonts w:ascii="Arial" w:hAnsi="Arial" w:cs="Arial"/>
          <w:sz w:val="24"/>
          <w:szCs w:val="23"/>
        </w:rPr>
      </w:pPr>
    </w:p>
    <w:p w:rsidR="000C02F2" w:rsidRDefault="000C02F2" w:rsidP="009D6CF6">
      <w:pPr>
        <w:tabs>
          <w:tab w:val="left" w:pos="2268"/>
          <w:tab w:val="left" w:pos="5059"/>
        </w:tabs>
        <w:spacing w:line="276" w:lineRule="auto"/>
        <w:jc w:val="center"/>
        <w:rPr>
          <w:rFonts w:ascii="Arial" w:eastAsia="Calibri" w:hAnsi="Arial" w:cs="Arial"/>
          <w:b/>
          <w:sz w:val="24"/>
          <w:szCs w:val="23"/>
        </w:rPr>
      </w:pPr>
    </w:p>
    <w:p w:rsidR="00487662" w:rsidRPr="000C02F2" w:rsidRDefault="00487662" w:rsidP="009D6CF6">
      <w:pPr>
        <w:tabs>
          <w:tab w:val="left" w:pos="2268"/>
          <w:tab w:val="left" w:pos="5059"/>
        </w:tabs>
        <w:spacing w:line="276" w:lineRule="auto"/>
        <w:jc w:val="center"/>
        <w:rPr>
          <w:rFonts w:ascii="Arial" w:eastAsia="Calibri" w:hAnsi="Arial" w:cs="Arial"/>
          <w:b/>
          <w:sz w:val="24"/>
          <w:szCs w:val="23"/>
        </w:rPr>
      </w:pPr>
      <w:r w:rsidRPr="000C02F2">
        <w:rPr>
          <w:rFonts w:ascii="Arial" w:eastAsia="Calibri" w:hAnsi="Arial" w:cs="Arial"/>
          <w:b/>
          <w:sz w:val="24"/>
          <w:szCs w:val="23"/>
        </w:rPr>
        <w:t>Conclusão do Voto:</w:t>
      </w:r>
    </w:p>
    <w:p w:rsidR="000C02F2" w:rsidRDefault="00487662" w:rsidP="00742382">
      <w:pPr>
        <w:tabs>
          <w:tab w:val="left" w:pos="1701"/>
          <w:tab w:val="left" w:pos="5059"/>
        </w:tabs>
        <w:jc w:val="both"/>
        <w:rPr>
          <w:rFonts w:ascii="Arial" w:eastAsia="Calibri" w:hAnsi="Arial" w:cs="Arial"/>
          <w:sz w:val="24"/>
          <w:szCs w:val="23"/>
        </w:rPr>
      </w:pPr>
      <w:r w:rsidRPr="000C02F2">
        <w:rPr>
          <w:rFonts w:ascii="Arial" w:eastAsia="Calibri" w:hAnsi="Arial" w:cs="Arial"/>
          <w:sz w:val="24"/>
          <w:szCs w:val="23"/>
        </w:rPr>
        <w:tab/>
      </w:r>
    </w:p>
    <w:p w:rsidR="00742382" w:rsidRPr="000C02F2" w:rsidRDefault="00487662" w:rsidP="00742382">
      <w:pPr>
        <w:tabs>
          <w:tab w:val="left" w:pos="1701"/>
          <w:tab w:val="left" w:pos="5059"/>
        </w:tabs>
        <w:jc w:val="both"/>
        <w:rPr>
          <w:rFonts w:ascii="Arial" w:eastAsia="Calibri" w:hAnsi="Arial" w:cs="Arial"/>
          <w:b/>
          <w:sz w:val="24"/>
          <w:szCs w:val="23"/>
        </w:rPr>
      </w:pPr>
      <w:r w:rsidRPr="000C02F2">
        <w:rPr>
          <w:rFonts w:ascii="Arial" w:eastAsia="Calibri" w:hAnsi="Arial" w:cs="Arial"/>
          <w:sz w:val="24"/>
          <w:szCs w:val="23"/>
        </w:rPr>
        <w:t xml:space="preserve">Diante dos fundamentos legais e constitucionais expostos, com fundamento </w:t>
      </w:r>
      <w:r w:rsidR="0036296C" w:rsidRPr="000C02F2">
        <w:rPr>
          <w:rFonts w:ascii="Arial" w:eastAsia="Calibri" w:hAnsi="Arial" w:cs="Arial"/>
          <w:sz w:val="24"/>
          <w:szCs w:val="23"/>
        </w:rPr>
        <w:t>na Orientação Jurídica</w:t>
      </w:r>
      <w:r w:rsidRPr="000C02F2">
        <w:rPr>
          <w:rFonts w:ascii="Arial" w:eastAsia="Calibri" w:hAnsi="Arial" w:cs="Arial"/>
          <w:sz w:val="24"/>
          <w:szCs w:val="23"/>
        </w:rPr>
        <w:t xml:space="preserve"> da Procuradora Geral desta Casa, esta Relatoria, depois de debate realizado na Comissão, disponibiliza o presente voto concluindo </w:t>
      </w:r>
      <w:r w:rsidR="006272BC" w:rsidRPr="000C02F2">
        <w:rPr>
          <w:rFonts w:ascii="Arial" w:eastAsia="Calibri" w:hAnsi="Arial" w:cs="Arial"/>
          <w:sz w:val="24"/>
          <w:szCs w:val="23"/>
        </w:rPr>
        <w:t>que o PL</w:t>
      </w:r>
      <w:r w:rsidR="00620870" w:rsidRPr="000C02F2">
        <w:rPr>
          <w:rFonts w:ascii="Arial" w:eastAsia="Calibri" w:hAnsi="Arial" w:cs="Arial"/>
          <w:sz w:val="24"/>
          <w:szCs w:val="23"/>
        </w:rPr>
        <w:t>L</w:t>
      </w:r>
      <w:r w:rsidR="006272BC" w:rsidRPr="000C02F2">
        <w:rPr>
          <w:rFonts w:ascii="Arial" w:eastAsia="Calibri" w:hAnsi="Arial" w:cs="Arial"/>
          <w:sz w:val="24"/>
          <w:szCs w:val="23"/>
        </w:rPr>
        <w:t xml:space="preserve"> </w:t>
      </w:r>
      <w:r w:rsidR="00620870" w:rsidRPr="000C02F2">
        <w:rPr>
          <w:rFonts w:ascii="Arial" w:eastAsia="Calibri" w:hAnsi="Arial" w:cs="Arial"/>
          <w:sz w:val="24"/>
          <w:szCs w:val="23"/>
        </w:rPr>
        <w:t>09</w:t>
      </w:r>
      <w:r w:rsidR="006272BC" w:rsidRPr="000C02F2">
        <w:rPr>
          <w:rFonts w:ascii="Arial" w:eastAsia="Calibri" w:hAnsi="Arial" w:cs="Arial"/>
          <w:sz w:val="24"/>
          <w:szCs w:val="23"/>
        </w:rPr>
        <w:t>/201</w:t>
      </w:r>
      <w:r w:rsidR="0036296C" w:rsidRPr="000C02F2">
        <w:rPr>
          <w:rFonts w:ascii="Arial" w:eastAsia="Calibri" w:hAnsi="Arial" w:cs="Arial"/>
          <w:sz w:val="24"/>
          <w:szCs w:val="23"/>
        </w:rPr>
        <w:t>8</w:t>
      </w:r>
      <w:r w:rsidR="00B61FFE">
        <w:rPr>
          <w:rFonts w:ascii="Arial" w:eastAsia="Calibri" w:hAnsi="Arial" w:cs="Arial"/>
          <w:sz w:val="24"/>
          <w:szCs w:val="23"/>
        </w:rPr>
        <w:t>, bem como a emenda apresentada</w:t>
      </w:r>
      <w:r w:rsidR="006272BC" w:rsidRPr="000C02F2">
        <w:rPr>
          <w:rFonts w:ascii="Arial" w:eastAsia="Calibri" w:hAnsi="Arial" w:cs="Arial"/>
          <w:sz w:val="24"/>
          <w:szCs w:val="23"/>
        </w:rPr>
        <w:t xml:space="preserve"> atende </w:t>
      </w:r>
      <w:r w:rsidR="00762785" w:rsidRPr="000C02F2">
        <w:rPr>
          <w:rFonts w:ascii="Arial" w:eastAsia="Calibri" w:hAnsi="Arial" w:cs="Arial"/>
          <w:sz w:val="24"/>
          <w:szCs w:val="23"/>
        </w:rPr>
        <w:t xml:space="preserve">a constitucionalidade, legalidade e a </w:t>
      </w:r>
      <w:proofErr w:type="spellStart"/>
      <w:r w:rsidR="00762785" w:rsidRPr="000C02F2">
        <w:rPr>
          <w:rFonts w:ascii="Arial" w:eastAsia="Calibri" w:hAnsi="Arial" w:cs="Arial"/>
          <w:sz w:val="24"/>
          <w:szCs w:val="23"/>
        </w:rPr>
        <w:t>regimentalidade</w:t>
      </w:r>
      <w:proofErr w:type="spellEnd"/>
      <w:r w:rsidR="006272BC" w:rsidRPr="000C02F2">
        <w:rPr>
          <w:rFonts w:ascii="Arial" w:eastAsia="Calibri" w:hAnsi="Arial" w:cs="Arial"/>
          <w:sz w:val="24"/>
          <w:szCs w:val="23"/>
        </w:rPr>
        <w:t xml:space="preserve">, </w:t>
      </w:r>
      <w:r w:rsidR="00E46210" w:rsidRPr="000C02F2">
        <w:rPr>
          <w:rFonts w:ascii="Arial" w:eastAsia="Calibri" w:hAnsi="Arial" w:cs="Arial"/>
          <w:b/>
          <w:sz w:val="24"/>
          <w:szCs w:val="23"/>
        </w:rPr>
        <w:t>sendo viável a sua tramitação</w:t>
      </w:r>
      <w:r w:rsidR="00FC3EAD" w:rsidRPr="000C02F2">
        <w:rPr>
          <w:rFonts w:ascii="Arial" w:eastAsia="Calibri" w:hAnsi="Arial" w:cs="Arial"/>
          <w:b/>
          <w:sz w:val="24"/>
          <w:szCs w:val="23"/>
        </w:rPr>
        <w:t>.</w:t>
      </w:r>
    </w:p>
    <w:p w:rsidR="000C02F2" w:rsidRDefault="006272BC" w:rsidP="009D6CF6">
      <w:pPr>
        <w:tabs>
          <w:tab w:val="left" w:pos="1701"/>
          <w:tab w:val="left" w:pos="5059"/>
        </w:tabs>
        <w:spacing w:line="276" w:lineRule="auto"/>
        <w:jc w:val="both"/>
        <w:rPr>
          <w:rFonts w:ascii="Arial" w:eastAsia="Calibri" w:hAnsi="Arial" w:cs="Arial"/>
          <w:sz w:val="24"/>
          <w:szCs w:val="23"/>
        </w:rPr>
      </w:pPr>
      <w:r w:rsidRPr="000C02F2">
        <w:rPr>
          <w:rFonts w:ascii="Arial" w:eastAsia="Calibri" w:hAnsi="Arial" w:cs="Arial"/>
          <w:sz w:val="24"/>
          <w:szCs w:val="23"/>
        </w:rPr>
        <w:tab/>
      </w:r>
    </w:p>
    <w:p w:rsidR="000C02F2" w:rsidRDefault="000C02F2" w:rsidP="009D6CF6">
      <w:pPr>
        <w:tabs>
          <w:tab w:val="left" w:pos="1701"/>
          <w:tab w:val="left" w:pos="5059"/>
        </w:tabs>
        <w:spacing w:line="276" w:lineRule="auto"/>
        <w:jc w:val="both"/>
        <w:rPr>
          <w:rFonts w:ascii="Arial" w:eastAsia="Calibri" w:hAnsi="Arial" w:cs="Arial"/>
          <w:sz w:val="24"/>
          <w:szCs w:val="23"/>
        </w:rPr>
      </w:pPr>
    </w:p>
    <w:p w:rsidR="00487662" w:rsidRPr="000C02F2" w:rsidRDefault="000C02F2" w:rsidP="009D6CF6">
      <w:pPr>
        <w:tabs>
          <w:tab w:val="left" w:pos="1701"/>
          <w:tab w:val="left" w:pos="5059"/>
        </w:tabs>
        <w:spacing w:line="276" w:lineRule="auto"/>
        <w:jc w:val="both"/>
        <w:rPr>
          <w:rFonts w:ascii="Arial" w:eastAsia="Calibri" w:hAnsi="Arial" w:cs="Arial"/>
          <w:sz w:val="24"/>
          <w:szCs w:val="23"/>
        </w:rPr>
      </w:pPr>
      <w:r>
        <w:rPr>
          <w:rFonts w:ascii="Arial" w:eastAsia="Calibri" w:hAnsi="Arial" w:cs="Arial"/>
          <w:sz w:val="24"/>
          <w:szCs w:val="23"/>
        </w:rPr>
        <w:tab/>
      </w:r>
      <w:r w:rsidR="00487662" w:rsidRPr="000C02F2">
        <w:rPr>
          <w:rFonts w:ascii="Arial" w:eastAsia="Calibri" w:hAnsi="Arial" w:cs="Arial"/>
          <w:sz w:val="24"/>
          <w:szCs w:val="23"/>
        </w:rPr>
        <w:t xml:space="preserve">Sala das Comissões, em </w:t>
      </w:r>
      <w:r w:rsidR="00464768">
        <w:rPr>
          <w:rFonts w:ascii="Arial" w:eastAsia="Calibri" w:hAnsi="Arial" w:cs="Arial"/>
          <w:sz w:val="24"/>
          <w:szCs w:val="23"/>
        </w:rPr>
        <w:t>05</w:t>
      </w:r>
      <w:r w:rsidR="00487662" w:rsidRPr="000C02F2">
        <w:rPr>
          <w:rFonts w:ascii="Arial" w:eastAsia="Calibri" w:hAnsi="Arial" w:cs="Arial"/>
          <w:sz w:val="24"/>
          <w:szCs w:val="23"/>
        </w:rPr>
        <w:t xml:space="preserve"> de </w:t>
      </w:r>
      <w:r w:rsidR="00464768">
        <w:rPr>
          <w:rFonts w:ascii="Arial" w:eastAsia="Calibri" w:hAnsi="Arial" w:cs="Arial"/>
          <w:sz w:val="24"/>
          <w:szCs w:val="23"/>
        </w:rPr>
        <w:t>abril</w:t>
      </w:r>
      <w:r w:rsidR="00487662" w:rsidRPr="000C02F2">
        <w:rPr>
          <w:rFonts w:ascii="Arial" w:eastAsia="Calibri" w:hAnsi="Arial" w:cs="Arial"/>
          <w:sz w:val="24"/>
          <w:szCs w:val="23"/>
        </w:rPr>
        <w:t xml:space="preserve"> de 201</w:t>
      </w:r>
      <w:r w:rsidR="00762785" w:rsidRPr="000C02F2">
        <w:rPr>
          <w:rFonts w:ascii="Arial" w:eastAsia="Calibri" w:hAnsi="Arial" w:cs="Arial"/>
          <w:sz w:val="24"/>
          <w:szCs w:val="23"/>
        </w:rPr>
        <w:t>8</w:t>
      </w:r>
      <w:r w:rsidR="00487662" w:rsidRPr="000C02F2">
        <w:rPr>
          <w:rFonts w:ascii="Arial" w:eastAsia="Calibri" w:hAnsi="Arial" w:cs="Arial"/>
          <w:sz w:val="24"/>
          <w:szCs w:val="23"/>
        </w:rPr>
        <w:t>.</w:t>
      </w:r>
    </w:p>
    <w:p w:rsidR="000C02F2" w:rsidRPr="000C02F2" w:rsidRDefault="000C02F2" w:rsidP="000C02F2">
      <w:pPr>
        <w:tabs>
          <w:tab w:val="left" w:pos="1701"/>
          <w:tab w:val="left" w:pos="5059"/>
        </w:tabs>
        <w:spacing w:line="276" w:lineRule="auto"/>
        <w:jc w:val="center"/>
        <w:rPr>
          <w:rFonts w:ascii="Arial" w:eastAsia="Calibri" w:hAnsi="Arial" w:cs="Arial"/>
          <w:sz w:val="24"/>
          <w:szCs w:val="23"/>
        </w:rPr>
      </w:pPr>
    </w:p>
    <w:p w:rsidR="000C02F2" w:rsidRPr="000C02F2" w:rsidRDefault="000C02F2" w:rsidP="000C02F2">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 xml:space="preserve">Vereador Rafael </w:t>
      </w:r>
      <w:proofErr w:type="spellStart"/>
      <w:r w:rsidRPr="000C02F2">
        <w:rPr>
          <w:rFonts w:ascii="Arial" w:eastAsia="Calibri" w:hAnsi="Arial" w:cs="Arial"/>
          <w:sz w:val="24"/>
          <w:szCs w:val="23"/>
        </w:rPr>
        <w:t>Ronsoni</w:t>
      </w:r>
      <w:proofErr w:type="spellEnd"/>
      <w:r w:rsidRPr="000C02F2">
        <w:rPr>
          <w:rFonts w:ascii="Arial" w:eastAsia="Calibri" w:hAnsi="Arial" w:cs="Arial"/>
          <w:sz w:val="24"/>
          <w:szCs w:val="23"/>
        </w:rPr>
        <w:t xml:space="preserve"> </w:t>
      </w:r>
    </w:p>
    <w:p w:rsidR="000C02F2" w:rsidRPr="000C02F2" w:rsidRDefault="000C02F2" w:rsidP="000C02F2">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Vice-Presidente</w:t>
      </w:r>
    </w:p>
    <w:p w:rsidR="00DB6013" w:rsidRPr="000C02F2" w:rsidRDefault="00EE2CB5" w:rsidP="009D6CF6">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Relator</w:t>
      </w:r>
    </w:p>
    <w:p w:rsidR="00487662" w:rsidRPr="000C02F2" w:rsidRDefault="00487662" w:rsidP="009D6CF6">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Acompanhando o voto d</w:t>
      </w:r>
      <w:r w:rsidR="00762785" w:rsidRPr="000C02F2">
        <w:rPr>
          <w:rFonts w:ascii="Arial" w:eastAsia="Calibri" w:hAnsi="Arial" w:cs="Arial"/>
          <w:sz w:val="24"/>
          <w:szCs w:val="23"/>
        </w:rPr>
        <w:t>o</w:t>
      </w:r>
      <w:r w:rsidRPr="000C02F2">
        <w:rPr>
          <w:rFonts w:ascii="Arial" w:eastAsia="Calibri" w:hAnsi="Arial" w:cs="Arial"/>
          <w:sz w:val="24"/>
          <w:szCs w:val="23"/>
        </w:rPr>
        <w:t xml:space="preserve"> relator:</w:t>
      </w:r>
    </w:p>
    <w:p w:rsidR="0088510D" w:rsidRPr="000C02F2" w:rsidRDefault="0088510D" w:rsidP="009D6CF6">
      <w:pPr>
        <w:tabs>
          <w:tab w:val="left" w:pos="1701"/>
          <w:tab w:val="left" w:pos="5059"/>
        </w:tabs>
        <w:spacing w:line="276" w:lineRule="auto"/>
        <w:jc w:val="center"/>
        <w:rPr>
          <w:rFonts w:ascii="Arial" w:eastAsia="Calibri" w:hAnsi="Arial" w:cs="Arial"/>
          <w:sz w:val="24"/>
          <w:szCs w:val="23"/>
        </w:rPr>
      </w:pPr>
    </w:p>
    <w:p w:rsidR="00EE2CB5" w:rsidRPr="000C02F2" w:rsidRDefault="00EE2CB5" w:rsidP="009D6CF6">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 xml:space="preserve">Vereador Dr. Ubiratã </w:t>
      </w:r>
    </w:p>
    <w:p w:rsidR="00EE2CB5" w:rsidRPr="000C02F2" w:rsidRDefault="00EE2CB5" w:rsidP="009D6CF6">
      <w:pPr>
        <w:tabs>
          <w:tab w:val="left" w:pos="1701"/>
          <w:tab w:val="left" w:pos="5059"/>
        </w:tabs>
        <w:spacing w:line="276" w:lineRule="auto"/>
        <w:jc w:val="center"/>
        <w:rPr>
          <w:rFonts w:ascii="Arial" w:eastAsia="Calibri" w:hAnsi="Arial" w:cs="Arial"/>
          <w:sz w:val="24"/>
          <w:szCs w:val="23"/>
        </w:rPr>
      </w:pPr>
      <w:r w:rsidRPr="000C02F2">
        <w:rPr>
          <w:rFonts w:ascii="Arial" w:eastAsia="Calibri" w:hAnsi="Arial" w:cs="Arial"/>
          <w:sz w:val="24"/>
          <w:szCs w:val="23"/>
        </w:rPr>
        <w:t>Presidente</w:t>
      </w:r>
    </w:p>
    <w:p w:rsidR="00E978F5" w:rsidRPr="000C02F2" w:rsidRDefault="00E978F5" w:rsidP="009D6CF6">
      <w:pPr>
        <w:tabs>
          <w:tab w:val="left" w:pos="1701"/>
          <w:tab w:val="left" w:pos="5059"/>
        </w:tabs>
        <w:spacing w:line="276" w:lineRule="auto"/>
        <w:jc w:val="center"/>
        <w:rPr>
          <w:rFonts w:ascii="Arial" w:eastAsia="Calibri" w:hAnsi="Arial" w:cs="Arial"/>
          <w:sz w:val="24"/>
          <w:szCs w:val="23"/>
        </w:rPr>
      </w:pPr>
    </w:p>
    <w:p w:rsidR="000C02F2" w:rsidRDefault="000C02F2" w:rsidP="000C02F2">
      <w:pPr>
        <w:tabs>
          <w:tab w:val="left" w:pos="1701"/>
          <w:tab w:val="left" w:pos="5059"/>
        </w:tabs>
        <w:spacing w:line="276" w:lineRule="auto"/>
        <w:jc w:val="center"/>
        <w:rPr>
          <w:rFonts w:ascii="Arial" w:eastAsia="Calibri" w:hAnsi="Arial" w:cs="Arial"/>
          <w:sz w:val="23"/>
          <w:szCs w:val="23"/>
        </w:rPr>
      </w:pPr>
      <w:r w:rsidRPr="000C02F2">
        <w:rPr>
          <w:rFonts w:ascii="Arial" w:eastAsia="Calibri" w:hAnsi="Arial" w:cs="Arial"/>
          <w:sz w:val="24"/>
          <w:szCs w:val="23"/>
        </w:rPr>
        <w:t>Vereador Renan Sartori</w:t>
      </w:r>
      <w:r w:rsidRPr="0088510D">
        <w:rPr>
          <w:rFonts w:ascii="Arial" w:eastAsia="Calibri" w:hAnsi="Arial" w:cs="Arial"/>
          <w:sz w:val="23"/>
          <w:szCs w:val="23"/>
        </w:rPr>
        <w:t xml:space="preserve"> </w:t>
      </w:r>
    </w:p>
    <w:p w:rsidR="00B61FFE" w:rsidRPr="0088510D" w:rsidRDefault="00B61FFE" w:rsidP="000C02F2">
      <w:pPr>
        <w:tabs>
          <w:tab w:val="left" w:pos="1701"/>
          <w:tab w:val="left" w:pos="5059"/>
        </w:tabs>
        <w:spacing w:line="276" w:lineRule="auto"/>
        <w:jc w:val="center"/>
        <w:rPr>
          <w:rFonts w:ascii="Arial" w:eastAsia="Calibri" w:hAnsi="Arial" w:cs="Arial"/>
          <w:sz w:val="23"/>
          <w:szCs w:val="23"/>
        </w:rPr>
      </w:pPr>
      <w:r>
        <w:rPr>
          <w:rFonts w:ascii="Arial" w:eastAsia="Calibri" w:hAnsi="Arial" w:cs="Arial"/>
          <w:sz w:val="23"/>
          <w:szCs w:val="23"/>
        </w:rPr>
        <w:t>Membro</w:t>
      </w:r>
    </w:p>
    <w:sectPr w:rsidR="00B61FFE" w:rsidRPr="0088510D"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47162"/>
    <w:rsid w:val="000508E0"/>
    <w:rsid w:val="00050AE2"/>
    <w:rsid w:val="000510EA"/>
    <w:rsid w:val="000514EB"/>
    <w:rsid w:val="00054B04"/>
    <w:rsid w:val="0005528B"/>
    <w:rsid w:val="00060FAB"/>
    <w:rsid w:val="00074AE5"/>
    <w:rsid w:val="00082E9F"/>
    <w:rsid w:val="000864E9"/>
    <w:rsid w:val="00086A35"/>
    <w:rsid w:val="00087178"/>
    <w:rsid w:val="00087544"/>
    <w:rsid w:val="00096B9A"/>
    <w:rsid w:val="000A1C17"/>
    <w:rsid w:val="000B17DF"/>
    <w:rsid w:val="000B6E65"/>
    <w:rsid w:val="000C02F2"/>
    <w:rsid w:val="000C6254"/>
    <w:rsid w:val="000D06C5"/>
    <w:rsid w:val="000D335C"/>
    <w:rsid w:val="000D4018"/>
    <w:rsid w:val="000E2A67"/>
    <w:rsid w:val="000F6AAC"/>
    <w:rsid w:val="00100977"/>
    <w:rsid w:val="001074F4"/>
    <w:rsid w:val="00110704"/>
    <w:rsid w:val="00115289"/>
    <w:rsid w:val="00131B3F"/>
    <w:rsid w:val="00134023"/>
    <w:rsid w:val="00134A3B"/>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1F02B5"/>
    <w:rsid w:val="001F3AF0"/>
    <w:rsid w:val="0021429D"/>
    <w:rsid w:val="002201ED"/>
    <w:rsid w:val="00235B63"/>
    <w:rsid w:val="00240183"/>
    <w:rsid w:val="00265AA6"/>
    <w:rsid w:val="00267F04"/>
    <w:rsid w:val="00271DF1"/>
    <w:rsid w:val="002A1785"/>
    <w:rsid w:val="002A1F6A"/>
    <w:rsid w:val="002A7730"/>
    <w:rsid w:val="002C01A4"/>
    <w:rsid w:val="002C4E64"/>
    <w:rsid w:val="002D1E55"/>
    <w:rsid w:val="002E5DCE"/>
    <w:rsid w:val="00304269"/>
    <w:rsid w:val="00315B62"/>
    <w:rsid w:val="00321B5E"/>
    <w:rsid w:val="003310D1"/>
    <w:rsid w:val="00340388"/>
    <w:rsid w:val="00347737"/>
    <w:rsid w:val="003502A9"/>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64768"/>
    <w:rsid w:val="00470EC8"/>
    <w:rsid w:val="0048029F"/>
    <w:rsid w:val="00480303"/>
    <w:rsid w:val="00482222"/>
    <w:rsid w:val="00487662"/>
    <w:rsid w:val="00490DFF"/>
    <w:rsid w:val="00491450"/>
    <w:rsid w:val="004B2EC3"/>
    <w:rsid w:val="004E06F0"/>
    <w:rsid w:val="004E0DD3"/>
    <w:rsid w:val="004F0611"/>
    <w:rsid w:val="004F60CE"/>
    <w:rsid w:val="005004AC"/>
    <w:rsid w:val="005065DA"/>
    <w:rsid w:val="00516FBB"/>
    <w:rsid w:val="00524086"/>
    <w:rsid w:val="005268BE"/>
    <w:rsid w:val="0053678C"/>
    <w:rsid w:val="005531D1"/>
    <w:rsid w:val="005571F7"/>
    <w:rsid w:val="00575776"/>
    <w:rsid w:val="00576E73"/>
    <w:rsid w:val="00582E39"/>
    <w:rsid w:val="005A3923"/>
    <w:rsid w:val="005B0DFA"/>
    <w:rsid w:val="005B13CD"/>
    <w:rsid w:val="005B5594"/>
    <w:rsid w:val="005B6862"/>
    <w:rsid w:val="005C084B"/>
    <w:rsid w:val="005D055F"/>
    <w:rsid w:val="005D0B3E"/>
    <w:rsid w:val="005D13BB"/>
    <w:rsid w:val="005D1617"/>
    <w:rsid w:val="005E62D8"/>
    <w:rsid w:val="005E748A"/>
    <w:rsid w:val="005E7611"/>
    <w:rsid w:val="005F2128"/>
    <w:rsid w:val="005F3B14"/>
    <w:rsid w:val="0060140B"/>
    <w:rsid w:val="00602F38"/>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649"/>
    <w:rsid w:val="00693C31"/>
    <w:rsid w:val="006B43A6"/>
    <w:rsid w:val="006C4A65"/>
    <w:rsid w:val="006D0287"/>
    <w:rsid w:val="006D418B"/>
    <w:rsid w:val="006D47C3"/>
    <w:rsid w:val="006E2BE0"/>
    <w:rsid w:val="006F00FC"/>
    <w:rsid w:val="006F1C9A"/>
    <w:rsid w:val="006F502F"/>
    <w:rsid w:val="006F6387"/>
    <w:rsid w:val="006F7C9C"/>
    <w:rsid w:val="007074CF"/>
    <w:rsid w:val="00722E39"/>
    <w:rsid w:val="00726B36"/>
    <w:rsid w:val="00731790"/>
    <w:rsid w:val="007423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E3C6E"/>
    <w:rsid w:val="008022F5"/>
    <w:rsid w:val="0081301F"/>
    <w:rsid w:val="00816FA2"/>
    <w:rsid w:val="00821C0E"/>
    <w:rsid w:val="00823759"/>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31B9"/>
    <w:rsid w:val="008F32DC"/>
    <w:rsid w:val="008F3BC6"/>
    <w:rsid w:val="008F4ADC"/>
    <w:rsid w:val="008F7957"/>
    <w:rsid w:val="00900575"/>
    <w:rsid w:val="00905942"/>
    <w:rsid w:val="00915597"/>
    <w:rsid w:val="00916A40"/>
    <w:rsid w:val="00920430"/>
    <w:rsid w:val="00932E95"/>
    <w:rsid w:val="00933774"/>
    <w:rsid w:val="00933E5A"/>
    <w:rsid w:val="009373E8"/>
    <w:rsid w:val="00943925"/>
    <w:rsid w:val="00945444"/>
    <w:rsid w:val="00950C3C"/>
    <w:rsid w:val="00962126"/>
    <w:rsid w:val="00972F24"/>
    <w:rsid w:val="009740E1"/>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4C4C"/>
    <w:rsid w:val="00A17016"/>
    <w:rsid w:val="00A23722"/>
    <w:rsid w:val="00A30312"/>
    <w:rsid w:val="00A33096"/>
    <w:rsid w:val="00A45180"/>
    <w:rsid w:val="00A70B89"/>
    <w:rsid w:val="00A80EC9"/>
    <w:rsid w:val="00A84864"/>
    <w:rsid w:val="00A91701"/>
    <w:rsid w:val="00A94498"/>
    <w:rsid w:val="00A95A5F"/>
    <w:rsid w:val="00AA0455"/>
    <w:rsid w:val="00AA3280"/>
    <w:rsid w:val="00AA48AA"/>
    <w:rsid w:val="00AB1EB9"/>
    <w:rsid w:val="00AC1EE0"/>
    <w:rsid w:val="00AC2722"/>
    <w:rsid w:val="00AC6AB3"/>
    <w:rsid w:val="00AD1C96"/>
    <w:rsid w:val="00AE58BC"/>
    <w:rsid w:val="00AE6C68"/>
    <w:rsid w:val="00AF5697"/>
    <w:rsid w:val="00AF7B41"/>
    <w:rsid w:val="00B05DA2"/>
    <w:rsid w:val="00B17B53"/>
    <w:rsid w:val="00B2214E"/>
    <w:rsid w:val="00B23AE5"/>
    <w:rsid w:val="00B273CD"/>
    <w:rsid w:val="00B45455"/>
    <w:rsid w:val="00B46249"/>
    <w:rsid w:val="00B54735"/>
    <w:rsid w:val="00B564B1"/>
    <w:rsid w:val="00B61FFE"/>
    <w:rsid w:val="00B65520"/>
    <w:rsid w:val="00B77655"/>
    <w:rsid w:val="00BA1344"/>
    <w:rsid w:val="00BB7256"/>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3621"/>
    <w:rsid w:val="00CD7F76"/>
    <w:rsid w:val="00CE6C46"/>
    <w:rsid w:val="00CF66FC"/>
    <w:rsid w:val="00D03E02"/>
    <w:rsid w:val="00D14E00"/>
    <w:rsid w:val="00D21214"/>
    <w:rsid w:val="00D242B5"/>
    <w:rsid w:val="00D3248E"/>
    <w:rsid w:val="00D33E26"/>
    <w:rsid w:val="00D37A7F"/>
    <w:rsid w:val="00D41EB7"/>
    <w:rsid w:val="00D557EC"/>
    <w:rsid w:val="00D55A68"/>
    <w:rsid w:val="00D56492"/>
    <w:rsid w:val="00D62A77"/>
    <w:rsid w:val="00D63174"/>
    <w:rsid w:val="00D87EFA"/>
    <w:rsid w:val="00D95CFD"/>
    <w:rsid w:val="00DA0AC6"/>
    <w:rsid w:val="00DA3002"/>
    <w:rsid w:val="00DA3D94"/>
    <w:rsid w:val="00DA6DA4"/>
    <w:rsid w:val="00DB2313"/>
    <w:rsid w:val="00DB6013"/>
    <w:rsid w:val="00DB7599"/>
    <w:rsid w:val="00DC1CBE"/>
    <w:rsid w:val="00DE7D28"/>
    <w:rsid w:val="00DF14D2"/>
    <w:rsid w:val="00DF6232"/>
    <w:rsid w:val="00DF750D"/>
    <w:rsid w:val="00E03142"/>
    <w:rsid w:val="00E105EA"/>
    <w:rsid w:val="00E229A5"/>
    <w:rsid w:val="00E249A3"/>
    <w:rsid w:val="00E26635"/>
    <w:rsid w:val="00E37388"/>
    <w:rsid w:val="00E46210"/>
    <w:rsid w:val="00E53DAA"/>
    <w:rsid w:val="00E55917"/>
    <w:rsid w:val="00E623AB"/>
    <w:rsid w:val="00E74D17"/>
    <w:rsid w:val="00E85C37"/>
    <w:rsid w:val="00E9296F"/>
    <w:rsid w:val="00E9343F"/>
    <w:rsid w:val="00E939C7"/>
    <w:rsid w:val="00E94550"/>
    <w:rsid w:val="00E978F5"/>
    <w:rsid w:val="00E97F24"/>
    <w:rsid w:val="00EA2C2C"/>
    <w:rsid w:val="00EA3A4E"/>
    <w:rsid w:val="00EA6C3E"/>
    <w:rsid w:val="00EB1C01"/>
    <w:rsid w:val="00EB6FAF"/>
    <w:rsid w:val="00EC080F"/>
    <w:rsid w:val="00EC55CA"/>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A1964F"/>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30EC-3BE2-4A2F-ACC0-27831723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1074</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11</cp:revision>
  <cp:lastPrinted>2018-02-22T13:10:00Z</cp:lastPrinted>
  <dcterms:created xsi:type="dcterms:W3CDTF">2018-03-27T18:15:00Z</dcterms:created>
  <dcterms:modified xsi:type="dcterms:W3CDTF">2018-04-05T14:41:00Z</dcterms:modified>
</cp:coreProperties>
</file>