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161F3C" w:rsidRDefault="00487662" w:rsidP="00161F3C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 xml:space="preserve">COMISSÃO DE </w:t>
      </w:r>
      <w:r w:rsidR="006F00FC" w:rsidRPr="00161F3C">
        <w:rPr>
          <w:rFonts w:ascii="Times New Roman" w:eastAsia="Calibri" w:hAnsi="Times New Roman" w:cs="Times New Roman"/>
          <w:b/>
          <w:sz w:val="23"/>
          <w:szCs w:val="23"/>
        </w:rPr>
        <w:t>LEGISLAÇÃO</w:t>
      </w:r>
      <w:r w:rsidRPr="00161F3C">
        <w:rPr>
          <w:rFonts w:ascii="Times New Roman" w:eastAsia="Calibri" w:hAnsi="Times New Roman" w:cs="Times New Roman"/>
          <w:b/>
          <w:sz w:val="23"/>
          <w:szCs w:val="23"/>
        </w:rPr>
        <w:t xml:space="preserve"> E REDAÇÃO</w:t>
      </w:r>
      <w:r w:rsidR="006F00FC" w:rsidRPr="00161F3C">
        <w:rPr>
          <w:rFonts w:ascii="Times New Roman" w:eastAsia="Calibri" w:hAnsi="Times New Roman" w:cs="Times New Roman"/>
          <w:b/>
          <w:sz w:val="23"/>
          <w:szCs w:val="23"/>
        </w:rPr>
        <w:t xml:space="preserve"> FINAL</w:t>
      </w:r>
    </w:p>
    <w:p w:rsidR="00487662" w:rsidRPr="00161F3C" w:rsidRDefault="00487662" w:rsidP="00161F3C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487662" w:rsidRPr="00161F3C" w:rsidRDefault="00487662" w:rsidP="00161F3C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>Parecer: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549D6" w:rsidRPr="00161F3C">
        <w:rPr>
          <w:rFonts w:ascii="Times New Roman" w:eastAsia="Calibri" w:hAnsi="Times New Roman" w:cs="Times New Roman"/>
          <w:sz w:val="23"/>
          <w:szCs w:val="23"/>
        </w:rPr>
        <w:t>0</w:t>
      </w:r>
      <w:r w:rsidR="00E73650" w:rsidRPr="00161F3C">
        <w:rPr>
          <w:rFonts w:ascii="Times New Roman" w:eastAsia="Calibri" w:hAnsi="Times New Roman" w:cs="Times New Roman"/>
          <w:sz w:val="23"/>
          <w:szCs w:val="23"/>
        </w:rPr>
        <w:t>9</w:t>
      </w:r>
      <w:r w:rsidRPr="00161F3C">
        <w:rPr>
          <w:rFonts w:ascii="Times New Roman" w:eastAsia="Calibri" w:hAnsi="Times New Roman" w:cs="Times New Roman"/>
          <w:sz w:val="23"/>
          <w:szCs w:val="23"/>
        </w:rPr>
        <w:t>/201</w:t>
      </w:r>
      <w:r w:rsidR="007549D6" w:rsidRPr="00161F3C">
        <w:rPr>
          <w:rFonts w:ascii="Times New Roman" w:eastAsia="Calibri" w:hAnsi="Times New Roman" w:cs="Times New Roman"/>
          <w:sz w:val="23"/>
          <w:szCs w:val="23"/>
        </w:rPr>
        <w:t>8</w:t>
      </w:r>
    </w:p>
    <w:p w:rsidR="00487662" w:rsidRPr="00161F3C" w:rsidRDefault="00487662" w:rsidP="00161F3C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>Data: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549D6" w:rsidRPr="00161F3C">
        <w:rPr>
          <w:rFonts w:ascii="Times New Roman" w:eastAsia="Calibri" w:hAnsi="Times New Roman" w:cs="Times New Roman"/>
          <w:sz w:val="23"/>
          <w:szCs w:val="23"/>
        </w:rPr>
        <w:t>1</w:t>
      </w:r>
      <w:r w:rsidR="00B326D3" w:rsidRPr="00161F3C">
        <w:rPr>
          <w:rFonts w:ascii="Times New Roman" w:eastAsia="Calibri" w:hAnsi="Times New Roman" w:cs="Times New Roman"/>
          <w:sz w:val="23"/>
          <w:szCs w:val="23"/>
        </w:rPr>
        <w:t>5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de </w:t>
      </w:r>
      <w:r w:rsidR="00B326D3" w:rsidRPr="00161F3C">
        <w:rPr>
          <w:rFonts w:ascii="Times New Roman" w:eastAsia="Calibri" w:hAnsi="Times New Roman" w:cs="Times New Roman"/>
          <w:sz w:val="23"/>
          <w:szCs w:val="23"/>
        </w:rPr>
        <w:t>fevereiro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de 201</w:t>
      </w:r>
      <w:r w:rsidR="007549D6" w:rsidRPr="00161F3C">
        <w:rPr>
          <w:rFonts w:ascii="Times New Roman" w:eastAsia="Calibri" w:hAnsi="Times New Roman" w:cs="Times New Roman"/>
          <w:sz w:val="23"/>
          <w:szCs w:val="23"/>
        </w:rPr>
        <w:t>8</w:t>
      </w:r>
    </w:p>
    <w:p w:rsidR="00487662" w:rsidRPr="00161F3C" w:rsidRDefault="00487662" w:rsidP="00161F3C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>Matéria: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Projeto de Lei </w:t>
      </w:r>
      <w:r w:rsidR="007549D6" w:rsidRPr="00161F3C">
        <w:rPr>
          <w:rFonts w:ascii="Times New Roman" w:eastAsia="Calibri" w:hAnsi="Times New Roman" w:cs="Times New Roman"/>
          <w:sz w:val="23"/>
          <w:szCs w:val="23"/>
        </w:rPr>
        <w:t xml:space="preserve">Ordinária </w:t>
      </w:r>
      <w:r w:rsidRPr="00161F3C">
        <w:rPr>
          <w:rFonts w:ascii="Times New Roman" w:eastAsia="Calibri" w:hAnsi="Times New Roman" w:cs="Times New Roman"/>
          <w:sz w:val="23"/>
          <w:szCs w:val="23"/>
        </w:rPr>
        <w:t>nº 0</w:t>
      </w:r>
      <w:r w:rsidR="007549D6" w:rsidRPr="00161F3C">
        <w:rPr>
          <w:rFonts w:ascii="Times New Roman" w:eastAsia="Calibri" w:hAnsi="Times New Roman" w:cs="Times New Roman"/>
          <w:sz w:val="23"/>
          <w:szCs w:val="23"/>
        </w:rPr>
        <w:t>0</w:t>
      </w:r>
      <w:r w:rsidR="00E73650" w:rsidRPr="00161F3C">
        <w:rPr>
          <w:rFonts w:ascii="Times New Roman" w:eastAsia="Calibri" w:hAnsi="Times New Roman" w:cs="Times New Roman"/>
          <w:sz w:val="23"/>
          <w:szCs w:val="23"/>
        </w:rPr>
        <w:t>7</w:t>
      </w:r>
      <w:r w:rsidRPr="00161F3C">
        <w:rPr>
          <w:rFonts w:ascii="Times New Roman" w:eastAsia="Calibri" w:hAnsi="Times New Roman" w:cs="Times New Roman"/>
          <w:sz w:val="23"/>
          <w:szCs w:val="23"/>
        </w:rPr>
        <w:t>/201</w:t>
      </w:r>
      <w:r w:rsidR="007549D6" w:rsidRPr="00161F3C">
        <w:rPr>
          <w:rFonts w:ascii="Times New Roman" w:eastAsia="Calibri" w:hAnsi="Times New Roman" w:cs="Times New Roman"/>
          <w:sz w:val="23"/>
          <w:szCs w:val="23"/>
        </w:rPr>
        <w:t>8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C811EB" w:rsidRPr="00161F3C" w:rsidRDefault="00C811EB" w:rsidP="00161F3C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 xml:space="preserve">Ementa: </w:t>
      </w:r>
      <w:r w:rsidRPr="00161F3C">
        <w:rPr>
          <w:rFonts w:ascii="Times New Roman" w:eastAsia="Calibri" w:hAnsi="Times New Roman" w:cs="Times New Roman"/>
          <w:sz w:val="23"/>
          <w:szCs w:val="23"/>
        </w:rPr>
        <w:t>“</w:t>
      </w:r>
      <w:r w:rsidR="00E73650" w:rsidRPr="00161F3C">
        <w:rPr>
          <w:rFonts w:ascii="Times New Roman" w:eastAsia="Calibri" w:hAnsi="Times New Roman" w:cs="Times New Roman"/>
          <w:sz w:val="23"/>
          <w:szCs w:val="23"/>
        </w:rPr>
        <w:t>Altera dispositivos da Lei Municipal nº 1.879/2001, a qual dispõe sobre a isenção da cobrança do imposto predial e territorial urbano para áreas de proteção paisagística e de defesa ecológica no Município de Gramado e dá outras providencias</w:t>
      </w:r>
      <w:r w:rsidRPr="00161F3C">
        <w:rPr>
          <w:rFonts w:ascii="Times New Roman" w:eastAsia="Calibri" w:hAnsi="Times New Roman" w:cs="Times New Roman"/>
          <w:iCs/>
          <w:sz w:val="23"/>
          <w:szCs w:val="23"/>
        </w:rPr>
        <w:t>”.</w:t>
      </w:r>
    </w:p>
    <w:p w:rsidR="00487662" w:rsidRPr="00161F3C" w:rsidRDefault="00487662" w:rsidP="00161F3C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>Autor: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Poder Executivo</w:t>
      </w:r>
    </w:p>
    <w:p w:rsidR="00B326D3" w:rsidRPr="00161F3C" w:rsidRDefault="00487662" w:rsidP="00161F3C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>Relator:</w:t>
      </w:r>
      <w:r w:rsidR="009B2A65" w:rsidRPr="00161F3C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73650" w:rsidRPr="00161F3C">
        <w:rPr>
          <w:rFonts w:ascii="Times New Roman" w:eastAsia="Calibri" w:hAnsi="Times New Roman" w:cs="Times New Roman"/>
          <w:b/>
          <w:sz w:val="23"/>
          <w:szCs w:val="23"/>
        </w:rPr>
        <w:t>Renan Sartori</w:t>
      </w:r>
    </w:p>
    <w:p w:rsidR="000046B9" w:rsidRPr="00161F3C" w:rsidRDefault="000046B9" w:rsidP="00161F3C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 xml:space="preserve">Protocolo: </w:t>
      </w:r>
      <w:r w:rsidRPr="00161F3C">
        <w:rPr>
          <w:rFonts w:ascii="Times New Roman" w:eastAsia="Calibri" w:hAnsi="Times New Roman" w:cs="Times New Roman"/>
          <w:sz w:val="23"/>
          <w:szCs w:val="23"/>
        </w:rPr>
        <w:t>05/01/2018</w:t>
      </w:r>
      <w:r w:rsidR="00375DA8" w:rsidRPr="00161F3C">
        <w:rPr>
          <w:rFonts w:ascii="Times New Roman" w:eastAsia="Calibri" w:hAnsi="Times New Roman" w:cs="Times New Roman"/>
          <w:sz w:val="23"/>
          <w:szCs w:val="23"/>
        </w:rPr>
        <w:tab/>
        <w:t xml:space="preserve">     </w:t>
      </w:r>
      <w:r w:rsidR="007549D6" w:rsidRPr="00161F3C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</w:p>
    <w:p w:rsidR="00487662" w:rsidRPr="00161F3C" w:rsidRDefault="00487662" w:rsidP="00161F3C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>Conclusão do Voto: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375DA8" w:rsidRPr="00161F3C">
        <w:rPr>
          <w:rFonts w:ascii="Times New Roman" w:eastAsia="Calibri" w:hAnsi="Times New Roman" w:cs="Times New Roman"/>
          <w:sz w:val="23"/>
          <w:szCs w:val="23"/>
        </w:rPr>
        <w:t>favorável</w:t>
      </w:r>
      <w:r w:rsidR="007549D6" w:rsidRPr="00161F3C">
        <w:rPr>
          <w:rFonts w:ascii="Times New Roman" w:eastAsia="Calibri" w:hAnsi="Times New Roman" w:cs="Times New Roman"/>
          <w:sz w:val="23"/>
          <w:szCs w:val="23"/>
        </w:rPr>
        <w:t xml:space="preserve"> à tramitação da matéria</w:t>
      </w:r>
    </w:p>
    <w:p w:rsidR="00487662" w:rsidRPr="00161F3C" w:rsidRDefault="00487662" w:rsidP="00161F3C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87662" w:rsidRPr="00161F3C" w:rsidRDefault="00487662" w:rsidP="00161F3C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>Relatório:</w:t>
      </w:r>
    </w:p>
    <w:p w:rsidR="00161F3C" w:rsidRPr="00161F3C" w:rsidRDefault="00487662" w:rsidP="00161F3C">
      <w:pPr>
        <w:tabs>
          <w:tab w:val="left" w:pos="226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ab/>
        <w:t xml:space="preserve">O Projeto de Lei em análise foi apresentado nesta Casa Legislativa no dia </w:t>
      </w:r>
      <w:r w:rsidR="003C3380" w:rsidRPr="00161F3C">
        <w:rPr>
          <w:rFonts w:ascii="Times New Roman" w:eastAsia="Calibri" w:hAnsi="Times New Roman" w:cs="Times New Roman"/>
          <w:sz w:val="23"/>
          <w:szCs w:val="23"/>
        </w:rPr>
        <w:t>0</w:t>
      </w:r>
      <w:r w:rsidR="00161F3C" w:rsidRPr="00161F3C">
        <w:rPr>
          <w:rFonts w:ascii="Times New Roman" w:eastAsia="Calibri" w:hAnsi="Times New Roman" w:cs="Times New Roman"/>
          <w:sz w:val="23"/>
          <w:szCs w:val="23"/>
        </w:rPr>
        <w:t>6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de </w:t>
      </w:r>
      <w:r w:rsidR="003C3380" w:rsidRPr="00161F3C">
        <w:rPr>
          <w:rFonts w:ascii="Times New Roman" w:eastAsia="Calibri" w:hAnsi="Times New Roman" w:cs="Times New Roman"/>
          <w:sz w:val="23"/>
          <w:szCs w:val="23"/>
        </w:rPr>
        <w:t>jan</w:t>
      </w:r>
      <w:r w:rsidR="008F7957" w:rsidRPr="00161F3C">
        <w:rPr>
          <w:rFonts w:ascii="Times New Roman" w:eastAsia="Calibri" w:hAnsi="Times New Roman" w:cs="Times New Roman"/>
          <w:sz w:val="23"/>
          <w:szCs w:val="23"/>
        </w:rPr>
        <w:t>e</w:t>
      </w:r>
      <w:r w:rsidR="003C3380" w:rsidRPr="00161F3C">
        <w:rPr>
          <w:rFonts w:ascii="Times New Roman" w:eastAsia="Calibri" w:hAnsi="Times New Roman" w:cs="Times New Roman"/>
          <w:sz w:val="23"/>
          <w:szCs w:val="23"/>
        </w:rPr>
        <w:t>iro de 2018</w:t>
      </w:r>
      <w:r w:rsidRPr="00161F3C">
        <w:rPr>
          <w:rFonts w:ascii="Times New Roman" w:eastAsia="Calibri" w:hAnsi="Times New Roman" w:cs="Times New Roman"/>
          <w:sz w:val="23"/>
          <w:szCs w:val="23"/>
        </w:rPr>
        <w:t>,</w:t>
      </w:r>
      <w:r w:rsidR="008F7957" w:rsidRPr="00161F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61F3C" w:rsidRPr="00161F3C">
        <w:rPr>
          <w:rFonts w:ascii="Times New Roman" w:eastAsia="Calibri" w:hAnsi="Times New Roman" w:cs="Times New Roman"/>
          <w:sz w:val="23"/>
          <w:szCs w:val="23"/>
        </w:rPr>
        <w:t xml:space="preserve">requer autorização para proceder alteração na Lei Municipal nº 1.879/2001, sendo no § 1º do art. 1º, para ajustar a Secretaria competente para análise dos pedidos, e no art. 4º, para alterar o prazo para os interessados protocolarem os respectivos pedidos. Aduz na justificativa, que a alteração do prazo, que atualmente é 31 de dezembro de cada ano, para 30 de outubro anualmente, permitirá a melhoria dos fluxos de trabalho interno, na Secretaria responsável, bem como preservará o próprio contribuinte que poderia ficar prejudicado caso houvesse a decretação de ponto facultativo no período previsto no texto atual. Informa, por conseguinte, que compete a Secretaria Municipal de Meio Ambiente desenvolver a política ambiental do Município, primando pela proteção e conservação do meio ambiente, sendo cabível a esta Secretaria a competência para análise dos pedidos, razão pela qual a alteração proposta se faz oportuna. </w:t>
      </w:r>
    </w:p>
    <w:p w:rsidR="00487662" w:rsidRPr="00161F3C" w:rsidRDefault="00487662" w:rsidP="00161F3C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O projeto já foi analisado pela Procuradora Geral da Casa, a qual proferiu </w:t>
      </w:r>
      <w:r w:rsidR="00D56492" w:rsidRPr="00161F3C">
        <w:rPr>
          <w:rFonts w:ascii="Times New Roman" w:eastAsia="Calibri" w:hAnsi="Times New Roman" w:cs="Times New Roman"/>
          <w:sz w:val="23"/>
          <w:szCs w:val="23"/>
        </w:rPr>
        <w:t>Orientação Jurídica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nº </w:t>
      </w:r>
      <w:r w:rsidR="00D56492" w:rsidRPr="00161F3C">
        <w:rPr>
          <w:rFonts w:ascii="Times New Roman" w:eastAsia="Calibri" w:hAnsi="Times New Roman" w:cs="Times New Roman"/>
          <w:sz w:val="23"/>
          <w:szCs w:val="23"/>
        </w:rPr>
        <w:t>0</w:t>
      </w:r>
      <w:r w:rsidR="00161F3C" w:rsidRPr="00161F3C">
        <w:rPr>
          <w:rFonts w:ascii="Times New Roman" w:eastAsia="Calibri" w:hAnsi="Times New Roman" w:cs="Times New Roman"/>
          <w:sz w:val="23"/>
          <w:szCs w:val="23"/>
        </w:rPr>
        <w:t>8</w:t>
      </w:r>
      <w:r w:rsidR="00D56492" w:rsidRPr="00161F3C">
        <w:rPr>
          <w:rFonts w:ascii="Times New Roman" w:eastAsia="Calibri" w:hAnsi="Times New Roman" w:cs="Times New Roman"/>
          <w:sz w:val="23"/>
          <w:szCs w:val="23"/>
        </w:rPr>
        <w:t>/2018</w:t>
      </w:r>
      <w:r w:rsidR="00375DA8" w:rsidRPr="00161F3C">
        <w:rPr>
          <w:rFonts w:ascii="Times New Roman" w:eastAsia="Calibri" w:hAnsi="Times New Roman" w:cs="Times New Roman"/>
          <w:sz w:val="23"/>
          <w:szCs w:val="23"/>
        </w:rPr>
        <w:t>,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375DA8" w:rsidRPr="00161F3C">
        <w:rPr>
          <w:rFonts w:ascii="Times New Roman" w:hAnsi="Times New Roman" w:cs="Times New Roman"/>
          <w:b/>
          <w:bCs/>
          <w:sz w:val="23"/>
          <w:szCs w:val="23"/>
        </w:rPr>
        <w:t xml:space="preserve">favorável </w:t>
      </w:r>
      <w:r w:rsidR="00375DA8" w:rsidRPr="00161F3C">
        <w:rPr>
          <w:rFonts w:ascii="Times New Roman" w:hAnsi="Times New Roman" w:cs="Times New Roman"/>
          <w:sz w:val="23"/>
          <w:szCs w:val="23"/>
        </w:rPr>
        <w:t>à tramitação</w:t>
      </w:r>
      <w:r w:rsidR="00C20D7C" w:rsidRPr="00161F3C">
        <w:rPr>
          <w:rFonts w:ascii="Times New Roman" w:hAnsi="Times New Roman" w:cs="Times New Roman"/>
          <w:sz w:val="23"/>
          <w:szCs w:val="23"/>
        </w:rPr>
        <w:t xml:space="preserve"> </w:t>
      </w:r>
      <w:r w:rsidR="00434CA9" w:rsidRPr="00161F3C">
        <w:rPr>
          <w:rFonts w:ascii="Times New Roman" w:hAnsi="Times New Roman" w:cs="Times New Roman"/>
          <w:sz w:val="23"/>
          <w:szCs w:val="23"/>
        </w:rPr>
        <w:t>d</w:t>
      </w:r>
      <w:r w:rsidR="00F527C6" w:rsidRPr="00161F3C">
        <w:rPr>
          <w:rFonts w:ascii="Times New Roman" w:hAnsi="Times New Roman" w:cs="Times New Roman"/>
          <w:sz w:val="23"/>
          <w:szCs w:val="23"/>
        </w:rPr>
        <w:t xml:space="preserve">o PL </w:t>
      </w:r>
      <w:r w:rsidR="00D56492" w:rsidRPr="00161F3C">
        <w:rPr>
          <w:rFonts w:ascii="Times New Roman" w:hAnsi="Times New Roman" w:cs="Times New Roman"/>
          <w:sz w:val="23"/>
          <w:szCs w:val="23"/>
        </w:rPr>
        <w:t>0</w:t>
      </w:r>
      <w:r w:rsidR="00161F3C" w:rsidRPr="00161F3C">
        <w:rPr>
          <w:rFonts w:ascii="Times New Roman" w:hAnsi="Times New Roman" w:cs="Times New Roman"/>
          <w:sz w:val="23"/>
          <w:szCs w:val="23"/>
        </w:rPr>
        <w:t>7</w:t>
      </w:r>
      <w:r w:rsidR="00F527C6" w:rsidRPr="00161F3C">
        <w:rPr>
          <w:rFonts w:ascii="Times New Roman" w:hAnsi="Times New Roman" w:cs="Times New Roman"/>
          <w:sz w:val="23"/>
          <w:szCs w:val="23"/>
        </w:rPr>
        <w:t>/201</w:t>
      </w:r>
      <w:r w:rsidR="00D56492" w:rsidRPr="00161F3C">
        <w:rPr>
          <w:rFonts w:ascii="Times New Roman" w:hAnsi="Times New Roman" w:cs="Times New Roman"/>
          <w:sz w:val="23"/>
          <w:szCs w:val="23"/>
        </w:rPr>
        <w:t>8</w:t>
      </w:r>
      <w:r w:rsidR="00434CA9" w:rsidRPr="00161F3C">
        <w:rPr>
          <w:rFonts w:ascii="Times New Roman" w:hAnsi="Times New Roman" w:cs="Times New Roman"/>
          <w:sz w:val="23"/>
          <w:szCs w:val="23"/>
        </w:rPr>
        <w:t>,</w:t>
      </w:r>
      <w:r w:rsidR="00F527C6" w:rsidRPr="00161F3C">
        <w:rPr>
          <w:rFonts w:ascii="Times New Roman" w:hAnsi="Times New Roman" w:cs="Times New Roman"/>
          <w:sz w:val="23"/>
          <w:szCs w:val="23"/>
        </w:rPr>
        <w:t xml:space="preserve"> </w:t>
      </w:r>
      <w:r w:rsidR="006C4A65" w:rsidRPr="00161F3C">
        <w:rPr>
          <w:rFonts w:ascii="Times New Roman" w:hAnsi="Times New Roman" w:cs="Times New Roman"/>
          <w:sz w:val="23"/>
          <w:szCs w:val="23"/>
        </w:rPr>
        <w:t>pois atende as normas legais impostas, estando presentes a legalidade e constitucionalidade.</w:t>
      </w:r>
      <w:r w:rsidR="00375DA8" w:rsidRPr="00161F3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Tal </w:t>
      </w:r>
      <w:r w:rsidR="00D56492" w:rsidRPr="00161F3C">
        <w:rPr>
          <w:rFonts w:ascii="Times New Roman" w:eastAsia="Calibri" w:hAnsi="Times New Roman" w:cs="Times New Roman"/>
          <w:sz w:val="23"/>
          <w:szCs w:val="23"/>
        </w:rPr>
        <w:t>orientação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jurídic</w:t>
      </w:r>
      <w:r w:rsidR="00D56492" w:rsidRPr="00161F3C">
        <w:rPr>
          <w:rFonts w:ascii="Times New Roman" w:eastAsia="Calibri" w:hAnsi="Times New Roman" w:cs="Times New Roman"/>
          <w:sz w:val="23"/>
          <w:szCs w:val="23"/>
        </w:rPr>
        <w:t>a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embasa a elaboração do presente parecer.</w:t>
      </w:r>
    </w:p>
    <w:p w:rsidR="00C518D5" w:rsidRPr="00161F3C" w:rsidRDefault="00C518D5" w:rsidP="00161F3C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0E2A67" w:rsidRPr="00161F3C" w:rsidRDefault="00487662" w:rsidP="00161F3C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>Análise</w:t>
      </w:r>
      <w:r w:rsidR="000E2A67" w:rsidRPr="00161F3C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161F3C" w:rsidRPr="00161F3C" w:rsidRDefault="00161F3C" w:rsidP="00161F3C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0E2A67" w:rsidRPr="00161F3C" w:rsidRDefault="000E2A67" w:rsidP="00161F3C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lastRenderedPageBreak/>
        <w:t xml:space="preserve">I – Quanto à área de Legislação </w:t>
      </w:r>
    </w:p>
    <w:p w:rsidR="000E2A67" w:rsidRPr="00161F3C" w:rsidRDefault="000E2A67" w:rsidP="00161F3C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161F3C">
        <w:rPr>
          <w:rFonts w:ascii="Times New Roman" w:eastAsia="Calibri" w:hAnsi="Times New Roman" w:cs="Times New Roman"/>
          <w:b/>
          <w:sz w:val="23"/>
          <w:szCs w:val="23"/>
        </w:rPr>
        <w:t>Art. 54, I, do Regimento Interno desta Casa:</w:t>
      </w:r>
    </w:p>
    <w:p w:rsidR="000E2A67" w:rsidRPr="00161F3C" w:rsidRDefault="000E2A67" w:rsidP="00161F3C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161F3C">
        <w:rPr>
          <w:rFonts w:ascii="Times New Roman" w:hAnsi="Times New Roman" w:cs="Times New Roman"/>
          <w:sz w:val="23"/>
          <w:szCs w:val="23"/>
          <w:u w:val="single"/>
        </w:rPr>
        <w:t>Da Competência e Iniciativa</w:t>
      </w:r>
    </w:p>
    <w:p w:rsidR="00750BB0" w:rsidRPr="00161F3C" w:rsidRDefault="00750BB0" w:rsidP="00161F3C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  <w:u w:val="single"/>
        </w:rPr>
      </w:pPr>
    </w:p>
    <w:p w:rsidR="00161F3C" w:rsidRPr="00161F3C" w:rsidRDefault="00161F3C" w:rsidP="00161F3C">
      <w:pPr>
        <w:spacing w:line="276" w:lineRule="auto"/>
        <w:ind w:left="2279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O projeto versa sobre a isenção de taxas de IPTU para áreas de </w:t>
      </w:r>
    </w:p>
    <w:p w:rsidR="00A73CB6" w:rsidRDefault="00161F3C" w:rsidP="00A73CB6">
      <w:pPr>
        <w:spacing w:after="239" w:line="276" w:lineRule="auto"/>
        <w:ind w:left="-5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proteção paisagística e de defesa ecológica, localizadas no município. </w:t>
      </w:r>
    </w:p>
    <w:p w:rsidR="00161F3C" w:rsidRPr="00161F3C" w:rsidRDefault="00161F3C" w:rsidP="00A73CB6">
      <w:pPr>
        <w:spacing w:after="239" w:line="276" w:lineRule="auto"/>
        <w:ind w:left="-5" w:firstLine="2273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A cobrança do IPTU – Imposto Predial e Territorial Urbano é anual e tem sua instituição regulamentada no Código Tributário </w:t>
      </w:r>
      <w:proofErr w:type="gramStart"/>
      <w:r w:rsidRPr="00161F3C">
        <w:rPr>
          <w:rFonts w:ascii="Times New Roman" w:hAnsi="Times New Roman" w:cs="Times New Roman"/>
          <w:sz w:val="23"/>
          <w:szCs w:val="23"/>
        </w:rPr>
        <w:t>Municipal,  Lei</w:t>
      </w:r>
      <w:proofErr w:type="gramEnd"/>
      <w:r w:rsidRPr="00161F3C">
        <w:rPr>
          <w:rFonts w:ascii="Times New Roman" w:hAnsi="Times New Roman" w:cs="Times New Roman"/>
          <w:sz w:val="23"/>
          <w:szCs w:val="23"/>
        </w:rPr>
        <w:t xml:space="preserve"> nº 2.158/2003 e suas alterações. </w:t>
      </w:r>
    </w:p>
    <w:p w:rsidR="00161F3C" w:rsidRPr="00161F3C" w:rsidRDefault="00161F3C" w:rsidP="00161F3C">
      <w:pPr>
        <w:spacing w:line="276" w:lineRule="auto"/>
        <w:ind w:firstLine="2279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O lançamento do IPTU é realizado em decorrência do fato gerador, nas respectivas datas e valores definidos em leis próprias.  </w:t>
      </w:r>
    </w:p>
    <w:p w:rsidR="00161F3C" w:rsidRPr="00161F3C" w:rsidRDefault="00161F3C" w:rsidP="00161F3C">
      <w:pPr>
        <w:spacing w:after="278" w:line="276" w:lineRule="auto"/>
        <w:ind w:left="2279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A regra, portanto, é a constituição e cobrança do tributo. </w:t>
      </w:r>
    </w:p>
    <w:p w:rsidR="00161F3C" w:rsidRPr="00161F3C" w:rsidRDefault="00161F3C" w:rsidP="00A73CB6">
      <w:pPr>
        <w:spacing w:line="276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Entretanto, a isenção tributária é admitida no direito pátrio, como uma modalidade de exclusão do crédito tributário, desde que atendidos os requisitos legais, entre os quais a aprovação de lei específica. No caso em análise, a isenção já está instituída, sendo a alteração proposta apenas em relação a data para encaminhamento do pedido e a Secretaria competente para sua análise. </w:t>
      </w:r>
    </w:p>
    <w:p w:rsidR="00161F3C" w:rsidRPr="00161F3C" w:rsidRDefault="00161F3C" w:rsidP="00161F3C">
      <w:pPr>
        <w:spacing w:line="276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Neste sentido, a iniciativa e competência para deflagrar o processo legislativo está corretamente exercida, porquanto pertence ao Poder Executivo Municipal a competência privativa para iniciar o processo proposto, nos termos da Lei Orgânica Municipal, art. 60, incisos VI, X e XXI, senão vejamos: </w:t>
      </w:r>
    </w:p>
    <w:p w:rsidR="00161F3C" w:rsidRPr="00A73CB6" w:rsidRDefault="00161F3C" w:rsidP="00161F3C">
      <w:pPr>
        <w:spacing w:after="273" w:line="276" w:lineRule="auto"/>
        <w:ind w:left="2132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Art. 60 Compete privativamente ao Prefeito: </w:t>
      </w:r>
    </w:p>
    <w:p w:rsidR="00161F3C" w:rsidRPr="00A73CB6" w:rsidRDefault="00161F3C" w:rsidP="00161F3C">
      <w:pPr>
        <w:spacing w:after="273" w:line="276" w:lineRule="auto"/>
        <w:ind w:left="2132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(,,,) </w:t>
      </w:r>
    </w:p>
    <w:p w:rsidR="00161F3C" w:rsidRPr="00A73CB6" w:rsidRDefault="00161F3C" w:rsidP="00161F3C">
      <w:pPr>
        <w:spacing w:after="273" w:line="276" w:lineRule="auto"/>
        <w:ind w:left="1777" w:firstLine="360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VI – </w:t>
      </w:r>
      <w:proofErr w:type="gramStart"/>
      <w:r w:rsidRPr="00A73CB6">
        <w:rPr>
          <w:rFonts w:ascii="Times New Roman" w:eastAsia="Arial" w:hAnsi="Times New Roman" w:cs="Times New Roman"/>
          <w:i/>
          <w:sz w:val="20"/>
          <w:szCs w:val="23"/>
        </w:rPr>
        <w:t>dispor</w:t>
      </w:r>
      <w:proofErr w:type="gramEnd"/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 sobre a organização e o funcionamento da administração municipal na forma da lei; </w:t>
      </w:r>
    </w:p>
    <w:p w:rsidR="00161F3C" w:rsidRPr="00A73CB6" w:rsidRDefault="00161F3C" w:rsidP="00161F3C">
      <w:pPr>
        <w:spacing w:after="273" w:line="276" w:lineRule="auto"/>
        <w:ind w:left="2132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 (...) </w:t>
      </w:r>
    </w:p>
    <w:p w:rsidR="00161F3C" w:rsidRPr="00A73CB6" w:rsidRDefault="00161F3C" w:rsidP="00161F3C">
      <w:pPr>
        <w:spacing w:after="273" w:line="276" w:lineRule="auto"/>
        <w:ind w:left="1777" w:firstLine="360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XXI – administrar os bens e as rendas municipais, promover o lançamento, a fiscalização e a arrecadação de tributos; </w:t>
      </w:r>
    </w:p>
    <w:p w:rsidR="00750BB0" w:rsidRPr="00161F3C" w:rsidRDefault="00750BB0" w:rsidP="00161F3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065DA" w:rsidRPr="00161F3C" w:rsidRDefault="00750BB0" w:rsidP="00161F3C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Assim, o presente PL encontra-se em conformidade com as normas legais vigentes, por ser de competência do Município normatização sobre a organização e o funcionamento da administração municipal, entre as quais a criação de cargos públicos, </w:t>
      </w:r>
      <w:r w:rsidRPr="00161F3C">
        <w:rPr>
          <w:rFonts w:ascii="Times New Roman" w:hAnsi="Times New Roman" w:cs="Times New Roman"/>
          <w:b/>
          <w:bCs/>
          <w:sz w:val="23"/>
          <w:szCs w:val="23"/>
        </w:rPr>
        <w:t xml:space="preserve">NÃO </w:t>
      </w:r>
      <w:r w:rsidRPr="00161F3C">
        <w:rPr>
          <w:rFonts w:ascii="Times New Roman" w:hAnsi="Times New Roman" w:cs="Times New Roman"/>
          <w:sz w:val="23"/>
          <w:szCs w:val="23"/>
        </w:rPr>
        <w:lastRenderedPageBreak/>
        <w:t>se registrando, desta forma, qualquer vício de origem na presente propositura, nos termos do art. 61, § 1º, II, “a”, da Constituição Federal.</w:t>
      </w:r>
    </w:p>
    <w:p w:rsidR="000E2A67" w:rsidRPr="00161F3C" w:rsidRDefault="000E2A67" w:rsidP="00161F3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E2A67" w:rsidRPr="00161F3C" w:rsidRDefault="000E2A67" w:rsidP="00161F3C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161F3C">
        <w:rPr>
          <w:rFonts w:ascii="Times New Roman" w:hAnsi="Times New Roman" w:cs="Times New Roman"/>
          <w:sz w:val="23"/>
          <w:szCs w:val="23"/>
          <w:u w:val="single"/>
        </w:rPr>
        <w:t>Da constitucionalidade e legalidade</w:t>
      </w:r>
    </w:p>
    <w:p w:rsidR="00F751A1" w:rsidRPr="00161F3C" w:rsidRDefault="00F751A1" w:rsidP="00161F3C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</w:p>
    <w:p w:rsidR="00161F3C" w:rsidRPr="00161F3C" w:rsidRDefault="00161F3C" w:rsidP="00161F3C">
      <w:pPr>
        <w:spacing w:line="276" w:lineRule="auto"/>
        <w:ind w:firstLine="2279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A Constituição Federal estabelece competência aos municípios para legislarem sobre assuntos de interesse local, bem como para instituir e arrecadar tributos de sua competência e administrar suas rendas, consoante o disposto no art. 30, I e III, da Constituição Federal, senão vejamos: </w:t>
      </w:r>
    </w:p>
    <w:p w:rsidR="00161F3C" w:rsidRPr="00161F3C" w:rsidRDefault="00161F3C" w:rsidP="00161F3C">
      <w:pPr>
        <w:spacing w:after="275" w:line="276" w:lineRule="auto"/>
        <w:ind w:left="2122" w:firstLine="2"/>
        <w:jc w:val="both"/>
        <w:rPr>
          <w:rFonts w:ascii="Times New Roman" w:hAnsi="Times New Roman" w:cs="Times New Roman"/>
          <w:sz w:val="20"/>
          <w:szCs w:val="23"/>
        </w:rPr>
      </w:pPr>
      <w:r w:rsidRPr="00161F3C">
        <w:rPr>
          <w:rFonts w:ascii="Times New Roman" w:eastAsia="Arial" w:hAnsi="Times New Roman" w:cs="Times New Roman"/>
          <w:i/>
          <w:sz w:val="20"/>
          <w:szCs w:val="23"/>
        </w:rPr>
        <w:t xml:space="preserve">“Art. 30. Compete aos Municípios: </w:t>
      </w:r>
    </w:p>
    <w:p w:rsidR="00161F3C" w:rsidRPr="00161F3C" w:rsidRDefault="00161F3C" w:rsidP="00161F3C">
      <w:pPr>
        <w:spacing w:after="275" w:line="276" w:lineRule="auto"/>
        <w:ind w:left="2122" w:firstLine="2"/>
        <w:jc w:val="both"/>
        <w:rPr>
          <w:rFonts w:ascii="Times New Roman" w:hAnsi="Times New Roman" w:cs="Times New Roman"/>
          <w:sz w:val="20"/>
          <w:szCs w:val="23"/>
        </w:rPr>
      </w:pPr>
      <w:r w:rsidRPr="00161F3C">
        <w:rPr>
          <w:rFonts w:ascii="Times New Roman" w:eastAsia="Arial" w:hAnsi="Times New Roman" w:cs="Times New Roman"/>
          <w:i/>
          <w:sz w:val="20"/>
          <w:szCs w:val="23"/>
        </w:rPr>
        <w:t xml:space="preserve">I - </w:t>
      </w:r>
      <w:proofErr w:type="gramStart"/>
      <w:r w:rsidRPr="00161F3C">
        <w:rPr>
          <w:rFonts w:ascii="Times New Roman" w:eastAsia="Arial" w:hAnsi="Times New Roman" w:cs="Times New Roman"/>
          <w:i/>
          <w:sz w:val="20"/>
          <w:szCs w:val="23"/>
        </w:rPr>
        <w:t>legislar</w:t>
      </w:r>
      <w:proofErr w:type="gramEnd"/>
      <w:r w:rsidRPr="00161F3C">
        <w:rPr>
          <w:rFonts w:ascii="Times New Roman" w:eastAsia="Arial" w:hAnsi="Times New Roman" w:cs="Times New Roman"/>
          <w:i/>
          <w:sz w:val="20"/>
          <w:szCs w:val="23"/>
        </w:rPr>
        <w:t xml:space="preserve"> sobre assuntos de interesse local; </w:t>
      </w:r>
    </w:p>
    <w:p w:rsidR="00161F3C" w:rsidRPr="00161F3C" w:rsidRDefault="00161F3C" w:rsidP="00161F3C">
      <w:pPr>
        <w:spacing w:after="275" w:line="276" w:lineRule="auto"/>
        <w:ind w:left="2122" w:firstLine="2"/>
        <w:jc w:val="both"/>
        <w:rPr>
          <w:rFonts w:ascii="Times New Roman" w:hAnsi="Times New Roman" w:cs="Times New Roman"/>
          <w:sz w:val="20"/>
          <w:szCs w:val="23"/>
        </w:rPr>
      </w:pPr>
      <w:r w:rsidRPr="00161F3C">
        <w:rPr>
          <w:rFonts w:ascii="Times New Roman" w:eastAsia="Arial" w:hAnsi="Times New Roman" w:cs="Times New Roman"/>
          <w:i/>
          <w:sz w:val="20"/>
          <w:szCs w:val="23"/>
        </w:rPr>
        <w:t xml:space="preserve">(...) </w:t>
      </w:r>
    </w:p>
    <w:p w:rsidR="00161F3C" w:rsidRPr="00161F3C" w:rsidRDefault="00161F3C" w:rsidP="00161F3C">
      <w:pPr>
        <w:spacing w:after="333" w:line="276" w:lineRule="auto"/>
        <w:ind w:left="2122" w:firstLine="2"/>
        <w:jc w:val="both"/>
        <w:rPr>
          <w:rFonts w:ascii="Times New Roman" w:hAnsi="Times New Roman" w:cs="Times New Roman"/>
          <w:sz w:val="20"/>
          <w:szCs w:val="23"/>
        </w:rPr>
      </w:pPr>
      <w:r w:rsidRPr="00161F3C">
        <w:rPr>
          <w:rFonts w:ascii="Times New Roman" w:eastAsia="Arial" w:hAnsi="Times New Roman" w:cs="Times New Roman"/>
          <w:i/>
          <w:sz w:val="20"/>
          <w:szCs w:val="23"/>
        </w:rPr>
        <w:t xml:space="preserve">III - instituir e arrecadar os tributos de sua competência, bem como aplicar suas rendas, sem prejuízo da obrigatoriedade de prestar contas e publicar balancetes nos prazos fixados em lei;” </w:t>
      </w:r>
    </w:p>
    <w:p w:rsidR="00161F3C" w:rsidRPr="00161F3C" w:rsidRDefault="00161F3C" w:rsidP="00161F3C">
      <w:pPr>
        <w:spacing w:after="283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 </w:t>
      </w:r>
      <w:r w:rsidRPr="00161F3C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161F3C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161F3C">
        <w:rPr>
          <w:rFonts w:ascii="Times New Roman" w:hAnsi="Times New Roman" w:cs="Times New Roman"/>
          <w:sz w:val="23"/>
          <w:szCs w:val="23"/>
        </w:rPr>
        <w:tab/>
        <w:t xml:space="preserve"> A isenção tributária, como a sua incidência, decorre de lei. </w:t>
      </w:r>
    </w:p>
    <w:p w:rsidR="00161F3C" w:rsidRPr="00161F3C" w:rsidRDefault="00161F3C" w:rsidP="00A73CB6">
      <w:pPr>
        <w:spacing w:after="279" w:line="276" w:lineRule="auto"/>
        <w:ind w:left="-5" w:firstLine="2273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É o próprio Poder Público competente para exigir o tributo, e também é ele que tem o poder de isentar. </w:t>
      </w:r>
    </w:p>
    <w:p w:rsidR="00161F3C" w:rsidRPr="00161F3C" w:rsidRDefault="00161F3C" w:rsidP="00A73CB6">
      <w:pPr>
        <w:spacing w:after="279" w:line="276" w:lineRule="auto"/>
        <w:ind w:left="-5" w:firstLine="2273"/>
        <w:jc w:val="both"/>
        <w:rPr>
          <w:rFonts w:ascii="Times New Roman" w:eastAsia="Arial" w:hAnsi="Times New Roman" w:cs="Times New Roman"/>
          <w:i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A isenção é um caso de exclusão ou, melhor dizendo, de dispensa do crédito tributário, cuja previsão encontramos no art. 175, inciso I, do Código Tributário nacional, senão vejamos:    </w:t>
      </w:r>
      <w:r w:rsidRPr="00161F3C">
        <w:rPr>
          <w:rFonts w:ascii="Times New Roman" w:eastAsia="Arial" w:hAnsi="Times New Roman" w:cs="Times New Roman"/>
          <w:i/>
          <w:sz w:val="23"/>
          <w:szCs w:val="23"/>
        </w:rPr>
        <w:t xml:space="preserve"> </w:t>
      </w:r>
    </w:p>
    <w:p w:rsidR="00161F3C" w:rsidRPr="00A73CB6" w:rsidRDefault="00161F3C" w:rsidP="00A73CB6">
      <w:pPr>
        <w:spacing w:after="279" w:line="276" w:lineRule="auto"/>
        <w:ind w:left="1134" w:firstLine="5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“Art. 175. Excluem o crédito tributário: </w:t>
      </w:r>
    </w:p>
    <w:p w:rsidR="00161F3C" w:rsidRPr="00A73CB6" w:rsidRDefault="00161F3C" w:rsidP="00A73CB6">
      <w:pPr>
        <w:numPr>
          <w:ilvl w:val="0"/>
          <w:numId w:val="25"/>
        </w:numPr>
        <w:spacing w:after="9" w:line="276" w:lineRule="auto"/>
        <w:ind w:left="1134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– </w:t>
      </w:r>
      <w:proofErr w:type="gramStart"/>
      <w:r w:rsidRPr="00A73CB6">
        <w:rPr>
          <w:rFonts w:ascii="Times New Roman" w:eastAsia="Arial" w:hAnsi="Times New Roman" w:cs="Times New Roman"/>
          <w:i/>
          <w:sz w:val="20"/>
          <w:szCs w:val="23"/>
        </w:rPr>
        <w:t>a</w:t>
      </w:r>
      <w:proofErr w:type="gramEnd"/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 isenção; </w:t>
      </w:r>
    </w:p>
    <w:p w:rsidR="00161F3C" w:rsidRPr="00A73CB6" w:rsidRDefault="00161F3C" w:rsidP="00A73CB6">
      <w:pPr>
        <w:numPr>
          <w:ilvl w:val="0"/>
          <w:numId w:val="25"/>
        </w:numPr>
        <w:spacing w:after="275" w:line="276" w:lineRule="auto"/>
        <w:ind w:left="1134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– </w:t>
      </w:r>
      <w:proofErr w:type="gramStart"/>
      <w:r w:rsidRPr="00A73CB6">
        <w:rPr>
          <w:rFonts w:ascii="Times New Roman" w:eastAsia="Arial" w:hAnsi="Times New Roman" w:cs="Times New Roman"/>
          <w:i/>
          <w:sz w:val="20"/>
          <w:szCs w:val="23"/>
        </w:rPr>
        <w:t>a</w:t>
      </w:r>
      <w:proofErr w:type="gramEnd"/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 anistia;  </w:t>
      </w:r>
    </w:p>
    <w:p w:rsidR="00161F3C" w:rsidRPr="00A73CB6" w:rsidRDefault="00161F3C" w:rsidP="00A73CB6">
      <w:pPr>
        <w:spacing w:after="275" w:line="276" w:lineRule="auto"/>
        <w:ind w:left="1134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Parágrafo único. A exclusão do crédito tributário não dispensa o cumprimento das obrigações acessórias, dependentes da obrigação principal cujo crédito seja excluído, ou dela consequente.” </w:t>
      </w:r>
    </w:p>
    <w:p w:rsidR="00161F3C" w:rsidRPr="00161F3C" w:rsidRDefault="00161F3C" w:rsidP="00A73CB6">
      <w:pPr>
        <w:spacing w:after="324" w:line="276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eastAsia="Arial" w:hAnsi="Times New Roman" w:cs="Times New Roman"/>
          <w:i/>
          <w:sz w:val="23"/>
          <w:szCs w:val="23"/>
        </w:rPr>
        <w:t xml:space="preserve"> </w:t>
      </w:r>
      <w:r w:rsidR="00A73CB6">
        <w:rPr>
          <w:rFonts w:ascii="Times New Roman" w:eastAsia="Arial" w:hAnsi="Times New Roman" w:cs="Times New Roman"/>
          <w:i/>
          <w:sz w:val="23"/>
          <w:szCs w:val="23"/>
        </w:rPr>
        <w:t>A</w:t>
      </w:r>
      <w:r w:rsidRPr="00161F3C">
        <w:rPr>
          <w:rFonts w:ascii="Times New Roman" w:hAnsi="Times New Roman" w:cs="Times New Roman"/>
          <w:sz w:val="23"/>
          <w:szCs w:val="23"/>
        </w:rPr>
        <w:t xml:space="preserve"> maioria dos doutrinadores entendem que a isenção não impede o nascimento da obrigação tributária, mas tão somente impede o aparecimento do crédito tributário, que corresponderia a obrigação surgida. Na isenção a obrigação tributária surge, mas a lei dispensa o pagamento do tributo. </w:t>
      </w:r>
    </w:p>
    <w:p w:rsidR="00161F3C" w:rsidRPr="00161F3C" w:rsidRDefault="00161F3C" w:rsidP="00A73CB6">
      <w:pPr>
        <w:shd w:val="clear" w:color="auto" w:fill="FCFCFC"/>
        <w:spacing w:after="255" w:line="276" w:lineRule="auto"/>
        <w:ind w:left="-5" w:firstLine="2273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lastRenderedPageBreak/>
        <w:t xml:space="preserve">   Desta forma, a isenção é algo excepcional, que se localiza no campo da incidência tributária. Houve o fato gerador, porém a lei determina que o contribuinte deixe de arcar com a respectiva obrigação tributária. </w:t>
      </w:r>
    </w:p>
    <w:p w:rsidR="00161F3C" w:rsidRPr="00161F3C" w:rsidRDefault="00161F3C" w:rsidP="00161F3C">
      <w:pPr>
        <w:shd w:val="clear" w:color="auto" w:fill="FCFCFC"/>
        <w:spacing w:after="223" w:line="276" w:lineRule="auto"/>
        <w:ind w:left="-5" w:firstLine="2273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  </w:t>
      </w:r>
      <w:r w:rsidRPr="00161F3C">
        <w:rPr>
          <w:rFonts w:ascii="Times New Roman" w:hAnsi="Times New Roman" w:cs="Times New Roman"/>
          <w:sz w:val="23"/>
          <w:szCs w:val="23"/>
        </w:rPr>
        <w:t>P</w:t>
      </w:r>
      <w:r w:rsidRPr="00161F3C">
        <w:rPr>
          <w:rFonts w:ascii="Times New Roman" w:hAnsi="Times New Roman" w:cs="Times New Roman"/>
          <w:sz w:val="23"/>
          <w:szCs w:val="23"/>
        </w:rPr>
        <w:t xml:space="preserve">ortanto, o encaminhamento de lei específica, é a primeira medida que se impõe, em conformidade ao art. 176 e seguintes, do CTN, assim disposto: </w:t>
      </w:r>
    </w:p>
    <w:p w:rsidR="00161F3C" w:rsidRPr="00A73CB6" w:rsidRDefault="00161F3C" w:rsidP="00161F3C">
      <w:pPr>
        <w:spacing w:after="275" w:line="276" w:lineRule="auto"/>
        <w:ind w:left="2122" w:firstLine="2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>“Art. 176. A isenção, ainda quando prevista em contrato, é sempre decorrente de lei que especifique as condições e requisitos exigidos para a sua concessão, os tributos a que se aplica e, sendo caso, o prazo de sua duração.</w:t>
      </w:r>
      <w:r w:rsidRPr="00A73CB6">
        <w:rPr>
          <w:rFonts w:ascii="Times New Roman" w:eastAsia="Times New Roman" w:hAnsi="Times New Roman" w:cs="Times New Roman"/>
          <w:i/>
          <w:sz w:val="20"/>
          <w:szCs w:val="23"/>
        </w:rPr>
        <w:t xml:space="preserve"> </w:t>
      </w:r>
    </w:p>
    <w:p w:rsidR="00161F3C" w:rsidRPr="00A73CB6" w:rsidRDefault="00161F3C" w:rsidP="00161F3C">
      <w:pPr>
        <w:spacing w:after="275" w:line="276" w:lineRule="auto"/>
        <w:ind w:left="2122" w:firstLine="2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>Parágrafo único. A isenção pode ser restrita a determinada região do território da entidade tributante, em função de condições a ela peculiares.</w:t>
      </w:r>
      <w:r w:rsidRPr="00A73CB6">
        <w:rPr>
          <w:rFonts w:ascii="Times New Roman" w:eastAsia="Times New Roman" w:hAnsi="Times New Roman" w:cs="Times New Roman"/>
          <w:i/>
          <w:sz w:val="20"/>
          <w:szCs w:val="23"/>
        </w:rPr>
        <w:t xml:space="preserve"> </w:t>
      </w:r>
    </w:p>
    <w:p w:rsidR="00161F3C" w:rsidRPr="00A73CB6" w:rsidRDefault="00161F3C" w:rsidP="00161F3C">
      <w:pPr>
        <w:spacing w:after="9" w:line="276" w:lineRule="auto"/>
        <w:ind w:left="2122" w:firstLine="2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>Art. 177. Salvo disposição de lei em contrário, a isenção não é extensiva:</w:t>
      </w:r>
      <w:r w:rsidRPr="00A73CB6">
        <w:rPr>
          <w:rFonts w:ascii="Times New Roman" w:eastAsia="Times New Roman" w:hAnsi="Times New Roman" w:cs="Times New Roman"/>
          <w:i/>
          <w:sz w:val="20"/>
          <w:szCs w:val="23"/>
        </w:rPr>
        <w:t xml:space="preserve"> </w:t>
      </w:r>
    </w:p>
    <w:p w:rsidR="00161F3C" w:rsidRPr="00A73CB6" w:rsidRDefault="00161F3C" w:rsidP="00161F3C">
      <w:pPr>
        <w:numPr>
          <w:ilvl w:val="0"/>
          <w:numId w:val="26"/>
        </w:numPr>
        <w:spacing w:after="9" w:line="276" w:lineRule="auto"/>
        <w:ind w:hanging="151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- </w:t>
      </w:r>
      <w:proofErr w:type="gramStart"/>
      <w:r w:rsidRPr="00A73CB6">
        <w:rPr>
          <w:rFonts w:ascii="Times New Roman" w:eastAsia="Arial" w:hAnsi="Times New Roman" w:cs="Times New Roman"/>
          <w:i/>
          <w:sz w:val="20"/>
          <w:szCs w:val="23"/>
        </w:rPr>
        <w:t>às</w:t>
      </w:r>
      <w:proofErr w:type="gramEnd"/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 taxas e às contribuições de melhoria;</w:t>
      </w:r>
      <w:r w:rsidRPr="00A73CB6">
        <w:rPr>
          <w:rFonts w:ascii="Times New Roman" w:eastAsia="Times New Roman" w:hAnsi="Times New Roman" w:cs="Times New Roman"/>
          <w:i/>
          <w:sz w:val="20"/>
          <w:szCs w:val="23"/>
        </w:rPr>
        <w:t xml:space="preserve"> </w:t>
      </w:r>
    </w:p>
    <w:p w:rsidR="00161F3C" w:rsidRPr="00A73CB6" w:rsidRDefault="00161F3C" w:rsidP="00161F3C">
      <w:pPr>
        <w:numPr>
          <w:ilvl w:val="0"/>
          <w:numId w:val="26"/>
        </w:numPr>
        <w:spacing w:after="52" w:line="276" w:lineRule="auto"/>
        <w:ind w:hanging="151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- </w:t>
      </w:r>
      <w:proofErr w:type="gramStart"/>
      <w:r w:rsidRPr="00A73CB6">
        <w:rPr>
          <w:rFonts w:ascii="Times New Roman" w:eastAsia="Arial" w:hAnsi="Times New Roman" w:cs="Times New Roman"/>
          <w:i/>
          <w:sz w:val="20"/>
          <w:szCs w:val="23"/>
        </w:rPr>
        <w:t>aos</w:t>
      </w:r>
      <w:proofErr w:type="gramEnd"/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 tributos instituídos posteriormente à sua concessão.”</w:t>
      </w:r>
      <w:r w:rsidRPr="00A73CB6">
        <w:rPr>
          <w:rFonts w:ascii="Times New Roman" w:eastAsia="Times New Roman" w:hAnsi="Times New Roman" w:cs="Times New Roman"/>
          <w:i/>
          <w:sz w:val="20"/>
          <w:szCs w:val="23"/>
        </w:rPr>
        <w:t xml:space="preserve"> </w:t>
      </w:r>
    </w:p>
    <w:p w:rsidR="00161F3C" w:rsidRPr="00161F3C" w:rsidRDefault="00161F3C" w:rsidP="00A73CB6">
      <w:pPr>
        <w:shd w:val="clear" w:color="auto" w:fill="FCFCFC"/>
        <w:spacing w:after="369" w:line="276" w:lineRule="auto"/>
        <w:ind w:left="-8" w:firstLine="2276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 Já na Constituição Estadual a isenção está assim regulamentada: </w:t>
      </w:r>
    </w:p>
    <w:p w:rsidR="00161F3C" w:rsidRPr="00A73CB6" w:rsidRDefault="00161F3C" w:rsidP="00161F3C">
      <w:pPr>
        <w:spacing w:after="322" w:line="276" w:lineRule="auto"/>
        <w:ind w:left="2269" w:firstLine="2"/>
        <w:jc w:val="both"/>
        <w:rPr>
          <w:rFonts w:ascii="Times New Roman" w:hAnsi="Times New Roman" w:cs="Times New Roman"/>
          <w:sz w:val="20"/>
          <w:szCs w:val="23"/>
        </w:rPr>
      </w:pPr>
      <w:r w:rsidRPr="00A73CB6">
        <w:rPr>
          <w:rFonts w:ascii="Times New Roman" w:eastAsia="Arial" w:hAnsi="Times New Roman" w:cs="Times New Roman"/>
          <w:i/>
          <w:sz w:val="20"/>
          <w:szCs w:val="23"/>
        </w:rPr>
        <w:t>“Art. 141. A concessão de anistia</w:t>
      </w:r>
      <w:r w:rsidRPr="00A73CB6">
        <w:rPr>
          <w:rFonts w:ascii="Times New Roman" w:eastAsia="Arial" w:hAnsi="Times New Roman" w:cs="Times New Roman"/>
          <w:b/>
          <w:i/>
          <w:sz w:val="20"/>
          <w:szCs w:val="23"/>
        </w:rPr>
        <w:t xml:space="preserve">, </w:t>
      </w: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remissão, </w:t>
      </w:r>
      <w:r w:rsidRPr="00A73CB6">
        <w:rPr>
          <w:rFonts w:ascii="Times New Roman" w:eastAsia="Arial" w:hAnsi="Times New Roman" w:cs="Times New Roman"/>
          <w:b/>
          <w:i/>
          <w:sz w:val="20"/>
          <w:szCs w:val="23"/>
        </w:rPr>
        <w:t>isenção</w:t>
      </w:r>
      <w:r w:rsidRPr="00A73CB6">
        <w:rPr>
          <w:rFonts w:ascii="Times New Roman" w:eastAsia="Arial" w:hAnsi="Times New Roman" w:cs="Times New Roman"/>
          <w:i/>
          <w:sz w:val="20"/>
          <w:szCs w:val="23"/>
        </w:rPr>
        <w:t xml:space="preserve">, benefícios e incentivos fiscais, bem como a dilação de prazos de pagamento de tributos, só será feita mediante autorização legislativa.” </w:t>
      </w:r>
    </w:p>
    <w:p w:rsidR="00A73CB6" w:rsidRDefault="00161F3C" w:rsidP="00A73CB6">
      <w:pPr>
        <w:spacing w:after="396" w:line="276" w:lineRule="auto"/>
        <w:ind w:firstLine="2269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 No caso sob análise, a isenção já vigora desde 2001, quando a Lei nº 1.879/2001 foi aprovada. Esse benefício fiscal serve desde então, para incentivar a manutenção das áreas de proteção paisagística e de defesa ecológica, no sentido de manter as características originais da área por maior tempo (cada ano de isenção obriga o proprietário a manter a área intacta pelo dobro de tempo do benefício obtido). </w:t>
      </w:r>
    </w:p>
    <w:p w:rsidR="00161F3C" w:rsidRPr="00161F3C" w:rsidRDefault="00161F3C" w:rsidP="00A73CB6">
      <w:pPr>
        <w:spacing w:after="396" w:line="276" w:lineRule="auto"/>
        <w:ind w:firstLine="2269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 Assim, a isenção de IPTU nestas áreas segue nos mesmos moldes praticados desde 2001, com isenção progressiva pelo tamanho de cada área beneficiada, partindo de 30% de 1 a 3 HA, aumentando para 50% para áreas entre 3 a 5HA, podendo chegar a isenção total do imposto para áreas com mais de 5 HA. </w:t>
      </w:r>
    </w:p>
    <w:p w:rsidR="00161F3C" w:rsidRPr="00161F3C" w:rsidRDefault="00161F3C" w:rsidP="00161F3C">
      <w:pPr>
        <w:spacing w:after="116" w:line="276" w:lineRule="auto"/>
        <w:ind w:right="-7"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O que propõe o Executivo, neste PL, é apenas o ajuste da data para encaminhamento dos pedidos pelo proprietário da área, antecipando para 30 de outubro de cada ano este prazo, o que se avalia razoável, </w:t>
      </w:r>
      <w:proofErr w:type="spellStart"/>
      <w:r w:rsidRPr="00161F3C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Pr="00161F3C">
        <w:rPr>
          <w:rFonts w:ascii="Times New Roman" w:hAnsi="Times New Roman" w:cs="Times New Roman"/>
          <w:sz w:val="23"/>
          <w:szCs w:val="23"/>
        </w:rPr>
        <w:t xml:space="preserve"> medida que o fato gerador do IPTU é sempre 1º de janeiro de cada ano, sendo impossível efetuar a análise de um pedido encaminhado dia 31 de dezembro, que requer vistoria do local, emissão de laudo técnico e outras providências de ordem administrativa, e ter o deferimento no mesmo dia, para evitar que o IPTU seja lançado em 1º de janeiro. Portanto, a antecipação da data de encaminhamento, como </w:t>
      </w:r>
      <w:r w:rsidRPr="00161F3C">
        <w:rPr>
          <w:rFonts w:ascii="Times New Roman" w:hAnsi="Times New Roman" w:cs="Times New Roman"/>
          <w:sz w:val="23"/>
          <w:szCs w:val="23"/>
        </w:rPr>
        <w:lastRenderedPageBreak/>
        <w:t xml:space="preserve">ampliação do período para análise é medida administrativa, e encontra-se no poder discricionário do gestor decidir pela sua melhor aplicabilidade.  </w:t>
      </w:r>
    </w:p>
    <w:p w:rsidR="00161F3C" w:rsidRPr="00161F3C" w:rsidRDefault="00161F3C" w:rsidP="00161F3C">
      <w:pPr>
        <w:spacing w:line="276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Também a adequação da Secretaria competente para análise dos pedidos se faz oportuna, vez que o texto original refere “Secretaria Municipal de Agricultura e Meio Ambiente”, quando hoje estas Secretarias estão individualizadas e é a Secretaria de Meio Ambiente a responsável por fazer a análise dos pedidos, porquanto detém o corpo técnico capacitado para este fim. </w:t>
      </w:r>
    </w:p>
    <w:p w:rsidR="000E2A67" w:rsidRPr="00161F3C" w:rsidRDefault="000E2A67" w:rsidP="00161F3C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0E2A67" w:rsidRPr="00161F3C" w:rsidRDefault="000E2A67" w:rsidP="00161F3C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I – Quanto à área de Redação Final </w:t>
      </w:r>
    </w:p>
    <w:p w:rsidR="000E2A67" w:rsidRPr="00161F3C" w:rsidRDefault="000E2A67" w:rsidP="00161F3C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>Art. 54, II, do Regimento Interno desta Casa:</w:t>
      </w:r>
    </w:p>
    <w:p w:rsidR="00C811EB" w:rsidRPr="00161F3C" w:rsidRDefault="00C811EB" w:rsidP="00161F3C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751A1" w:rsidRPr="00161F3C" w:rsidRDefault="00F751A1" w:rsidP="00161F3C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161F3C">
        <w:rPr>
          <w:rFonts w:ascii="Times New Roman" w:hAnsi="Times New Roman" w:cs="Times New Roman"/>
          <w:sz w:val="23"/>
          <w:szCs w:val="23"/>
          <w:u w:val="single"/>
        </w:rPr>
        <w:t>Da Técnica Legislativa</w:t>
      </w:r>
    </w:p>
    <w:p w:rsidR="00F751A1" w:rsidRPr="00161F3C" w:rsidRDefault="00F751A1" w:rsidP="00161F3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B62C8D" w:rsidRPr="00161F3C" w:rsidRDefault="00B62C8D" w:rsidP="00161F3C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 xml:space="preserve">Para que o processo legislativo possa ter a qualidade exigida pelos cidadãos, necessário que seja tecnicamente adequado. A Constituição Federal previu em seu artigo 59, parágrafo único, </w:t>
      </w:r>
      <w:proofErr w:type="gramStart"/>
      <w:r w:rsidRPr="00161F3C">
        <w:rPr>
          <w:rFonts w:ascii="Times New Roman" w:hAnsi="Times New Roman" w:cs="Times New Roman"/>
          <w:sz w:val="23"/>
          <w:szCs w:val="23"/>
        </w:rPr>
        <w:t>que  disporá</w:t>
      </w:r>
      <w:proofErr w:type="gramEnd"/>
      <w:r w:rsidRPr="00161F3C">
        <w:rPr>
          <w:rFonts w:ascii="Times New Roman" w:hAnsi="Times New Roman" w:cs="Times New Roman"/>
          <w:sz w:val="23"/>
          <w:szCs w:val="23"/>
        </w:rPr>
        <w:t xml:space="preserve"> sobre a elaboração, redação, alteração e consolidação das leis, normatizado através da Lei Complementar nº 95/1998.  </w:t>
      </w:r>
    </w:p>
    <w:p w:rsidR="00B62C8D" w:rsidRPr="00161F3C" w:rsidRDefault="00B62C8D" w:rsidP="00161F3C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B62C8D" w:rsidRPr="00161F3C" w:rsidRDefault="00B62C8D" w:rsidP="00161F3C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161F3C">
        <w:rPr>
          <w:rFonts w:ascii="Times New Roman" w:hAnsi="Times New Roman" w:cs="Times New Roman"/>
          <w:sz w:val="23"/>
          <w:szCs w:val="23"/>
        </w:rPr>
        <w:t>No caso pontual, observamos que o PL ora em análise possui a epígrafe, a ementa, o objeto da lei e o respectivo âmbito de aplicação, e está distribuído em artigos, parágrafos e incisos. O prazo para vigência da lei previsto é para entrar em vigor na data de sua publicação, cabível para matérias de pequena repercussão, como é o caso.</w:t>
      </w:r>
      <w:r w:rsidRPr="00161F3C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:rsidR="008A5779" w:rsidRPr="00161F3C" w:rsidRDefault="008A5779" w:rsidP="00161F3C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87662" w:rsidRPr="00161F3C" w:rsidRDefault="00487662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161F3C">
        <w:rPr>
          <w:rFonts w:ascii="Times New Roman" w:eastAsia="Calibri" w:hAnsi="Times New Roman" w:cs="Times New Roman"/>
          <w:sz w:val="23"/>
          <w:szCs w:val="23"/>
          <w:u w:val="single"/>
        </w:rPr>
        <w:t>Conclusão do Voto:</w:t>
      </w:r>
    </w:p>
    <w:p w:rsidR="00C811EB" w:rsidRPr="00161F3C" w:rsidRDefault="00C811EB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  <w:u w:val="single"/>
        </w:rPr>
      </w:pPr>
    </w:p>
    <w:p w:rsidR="0036296C" w:rsidRPr="00161F3C" w:rsidRDefault="00487662" w:rsidP="00161F3C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Diante dos fundamentos legais e constitucionais expostos, com fundamento </w:t>
      </w:r>
      <w:r w:rsidR="0036296C" w:rsidRPr="00161F3C">
        <w:rPr>
          <w:rFonts w:ascii="Times New Roman" w:eastAsia="Calibri" w:hAnsi="Times New Roman" w:cs="Times New Roman"/>
          <w:sz w:val="23"/>
          <w:szCs w:val="23"/>
        </w:rPr>
        <w:t>na Orientação Jurídica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161F3C">
        <w:rPr>
          <w:rFonts w:ascii="Times New Roman" w:eastAsia="Calibri" w:hAnsi="Times New Roman" w:cs="Times New Roman"/>
          <w:sz w:val="23"/>
          <w:szCs w:val="23"/>
        </w:rPr>
        <w:t xml:space="preserve">que o PL </w:t>
      </w:r>
      <w:r w:rsidR="0036296C" w:rsidRPr="00161F3C">
        <w:rPr>
          <w:rFonts w:ascii="Times New Roman" w:eastAsia="Calibri" w:hAnsi="Times New Roman" w:cs="Times New Roman"/>
          <w:sz w:val="23"/>
          <w:szCs w:val="23"/>
        </w:rPr>
        <w:t>0</w:t>
      </w:r>
      <w:r w:rsidR="00161F3C" w:rsidRPr="00161F3C">
        <w:rPr>
          <w:rFonts w:ascii="Times New Roman" w:eastAsia="Calibri" w:hAnsi="Times New Roman" w:cs="Times New Roman"/>
          <w:sz w:val="23"/>
          <w:szCs w:val="23"/>
        </w:rPr>
        <w:t>7</w:t>
      </w:r>
      <w:r w:rsidR="006272BC" w:rsidRPr="00161F3C">
        <w:rPr>
          <w:rFonts w:ascii="Times New Roman" w:eastAsia="Calibri" w:hAnsi="Times New Roman" w:cs="Times New Roman"/>
          <w:sz w:val="23"/>
          <w:szCs w:val="23"/>
        </w:rPr>
        <w:t>/201</w:t>
      </w:r>
      <w:r w:rsidR="0036296C" w:rsidRPr="00161F3C">
        <w:rPr>
          <w:rFonts w:ascii="Times New Roman" w:eastAsia="Calibri" w:hAnsi="Times New Roman" w:cs="Times New Roman"/>
          <w:sz w:val="23"/>
          <w:szCs w:val="23"/>
        </w:rPr>
        <w:t>8</w:t>
      </w:r>
      <w:r w:rsidR="006272BC" w:rsidRPr="00161F3C">
        <w:rPr>
          <w:rFonts w:ascii="Times New Roman" w:eastAsia="Calibri" w:hAnsi="Times New Roman" w:cs="Times New Roman"/>
          <w:sz w:val="23"/>
          <w:szCs w:val="23"/>
        </w:rPr>
        <w:t xml:space="preserve"> atende </w:t>
      </w:r>
      <w:r w:rsidR="00762785" w:rsidRPr="00161F3C">
        <w:rPr>
          <w:rFonts w:ascii="Times New Roman" w:eastAsia="Calibri" w:hAnsi="Times New Roman" w:cs="Times New Roman"/>
          <w:sz w:val="23"/>
          <w:szCs w:val="23"/>
        </w:rPr>
        <w:t xml:space="preserve">a constitucionalidade, legalidade e a </w:t>
      </w:r>
      <w:proofErr w:type="spellStart"/>
      <w:r w:rsidR="00762785" w:rsidRPr="00161F3C">
        <w:rPr>
          <w:rFonts w:ascii="Times New Roman" w:eastAsia="Calibri" w:hAnsi="Times New Roman" w:cs="Times New Roman"/>
          <w:sz w:val="23"/>
          <w:szCs w:val="23"/>
        </w:rPr>
        <w:t>regimentalidade</w:t>
      </w:r>
      <w:proofErr w:type="spellEnd"/>
      <w:r w:rsidR="006272BC" w:rsidRPr="00161F3C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E46210" w:rsidRPr="00161F3C">
        <w:rPr>
          <w:rFonts w:ascii="Times New Roman" w:eastAsia="Calibri" w:hAnsi="Times New Roman" w:cs="Times New Roman"/>
          <w:sz w:val="23"/>
          <w:szCs w:val="23"/>
        </w:rPr>
        <w:t>sendo viável a sua tramitação</w:t>
      </w:r>
      <w:r w:rsidR="00762785" w:rsidRPr="00161F3C">
        <w:rPr>
          <w:rFonts w:ascii="Times New Roman" w:eastAsia="Calibri" w:hAnsi="Times New Roman" w:cs="Times New Roman"/>
          <w:sz w:val="23"/>
          <w:szCs w:val="23"/>
        </w:rPr>
        <w:t>.</w:t>
      </w:r>
    </w:p>
    <w:p w:rsidR="00487662" w:rsidRPr="00161F3C" w:rsidRDefault="006272BC" w:rsidP="00161F3C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ab/>
      </w:r>
      <w:r w:rsidR="00161F3C" w:rsidRPr="00161F3C">
        <w:rPr>
          <w:rFonts w:ascii="Times New Roman" w:eastAsia="Calibri" w:hAnsi="Times New Roman" w:cs="Times New Roman"/>
          <w:sz w:val="23"/>
          <w:szCs w:val="23"/>
        </w:rPr>
        <w:tab/>
      </w:r>
      <w:r w:rsidR="00161F3C" w:rsidRPr="00161F3C">
        <w:rPr>
          <w:rFonts w:ascii="Times New Roman" w:eastAsia="Calibri" w:hAnsi="Times New Roman" w:cs="Times New Roman"/>
          <w:sz w:val="23"/>
          <w:szCs w:val="23"/>
        </w:rPr>
        <w:tab/>
      </w:r>
      <w:r w:rsidR="00487662" w:rsidRPr="00161F3C">
        <w:rPr>
          <w:rFonts w:ascii="Times New Roman" w:eastAsia="Calibri" w:hAnsi="Times New Roman" w:cs="Times New Roman"/>
          <w:sz w:val="23"/>
          <w:szCs w:val="23"/>
        </w:rPr>
        <w:t xml:space="preserve">Sala das Comissões, em </w:t>
      </w:r>
      <w:r w:rsidR="00762785" w:rsidRPr="00161F3C">
        <w:rPr>
          <w:rFonts w:ascii="Times New Roman" w:eastAsia="Calibri" w:hAnsi="Times New Roman" w:cs="Times New Roman"/>
          <w:sz w:val="23"/>
          <w:szCs w:val="23"/>
        </w:rPr>
        <w:t>1</w:t>
      </w:r>
      <w:r w:rsidR="003D2A3B" w:rsidRPr="00161F3C">
        <w:rPr>
          <w:rFonts w:ascii="Times New Roman" w:eastAsia="Calibri" w:hAnsi="Times New Roman" w:cs="Times New Roman"/>
          <w:sz w:val="23"/>
          <w:szCs w:val="23"/>
        </w:rPr>
        <w:t>5</w:t>
      </w:r>
      <w:r w:rsidR="00487662" w:rsidRPr="00161F3C">
        <w:rPr>
          <w:rFonts w:ascii="Times New Roman" w:eastAsia="Calibri" w:hAnsi="Times New Roman" w:cs="Times New Roman"/>
          <w:sz w:val="23"/>
          <w:szCs w:val="23"/>
        </w:rPr>
        <w:t xml:space="preserve"> de </w:t>
      </w:r>
      <w:r w:rsidR="003D2A3B" w:rsidRPr="00161F3C">
        <w:rPr>
          <w:rFonts w:ascii="Times New Roman" w:eastAsia="Calibri" w:hAnsi="Times New Roman" w:cs="Times New Roman"/>
          <w:sz w:val="23"/>
          <w:szCs w:val="23"/>
        </w:rPr>
        <w:t>fevereiro</w:t>
      </w:r>
      <w:r w:rsidR="00487662" w:rsidRPr="00161F3C">
        <w:rPr>
          <w:rFonts w:ascii="Times New Roman" w:eastAsia="Calibri" w:hAnsi="Times New Roman" w:cs="Times New Roman"/>
          <w:sz w:val="23"/>
          <w:szCs w:val="23"/>
        </w:rPr>
        <w:t xml:space="preserve"> de 201</w:t>
      </w:r>
      <w:r w:rsidR="00762785" w:rsidRPr="00161F3C">
        <w:rPr>
          <w:rFonts w:ascii="Times New Roman" w:eastAsia="Calibri" w:hAnsi="Times New Roman" w:cs="Times New Roman"/>
          <w:sz w:val="23"/>
          <w:szCs w:val="23"/>
        </w:rPr>
        <w:t>8</w:t>
      </w:r>
      <w:r w:rsidR="00487662" w:rsidRPr="00161F3C">
        <w:rPr>
          <w:rFonts w:ascii="Times New Roman" w:eastAsia="Calibri" w:hAnsi="Times New Roman" w:cs="Times New Roman"/>
          <w:sz w:val="23"/>
          <w:szCs w:val="23"/>
        </w:rPr>
        <w:t>.</w:t>
      </w:r>
    </w:p>
    <w:p w:rsidR="003034B0" w:rsidRPr="00161F3C" w:rsidRDefault="003034B0" w:rsidP="00161F3C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87662" w:rsidRPr="00161F3C" w:rsidRDefault="00487662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>Vereador Relator</w:t>
      </w:r>
    </w:p>
    <w:p w:rsidR="003D2A3B" w:rsidRPr="00161F3C" w:rsidRDefault="003D2A3B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487662" w:rsidRPr="00161F3C" w:rsidRDefault="00487662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>Acompanhando o voto d</w:t>
      </w:r>
      <w:r w:rsidR="00762785" w:rsidRPr="00161F3C">
        <w:rPr>
          <w:rFonts w:ascii="Times New Roman" w:eastAsia="Calibri" w:hAnsi="Times New Roman" w:cs="Times New Roman"/>
          <w:sz w:val="23"/>
          <w:szCs w:val="23"/>
        </w:rPr>
        <w:t>o</w:t>
      </w: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 relator:</w:t>
      </w:r>
    </w:p>
    <w:p w:rsidR="00AD19E9" w:rsidRPr="00161F3C" w:rsidRDefault="00AD19E9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3034B0" w:rsidRPr="00161F3C" w:rsidRDefault="003034B0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487662" w:rsidRPr="00161F3C" w:rsidRDefault="00487662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>Vereador Presidente</w:t>
      </w:r>
    </w:p>
    <w:p w:rsidR="00487662" w:rsidRPr="00161F3C" w:rsidRDefault="00487662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AD19E9" w:rsidRPr="00161F3C" w:rsidRDefault="00AD19E9" w:rsidP="00161F3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487662" w:rsidRPr="00161F3C" w:rsidRDefault="00487662" w:rsidP="00A73CB6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61F3C">
        <w:rPr>
          <w:rFonts w:ascii="Times New Roman" w:eastAsia="Calibri" w:hAnsi="Times New Roman" w:cs="Times New Roman"/>
          <w:sz w:val="23"/>
          <w:szCs w:val="23"/>
        </w:rPr>
        <w:t xml:space="preserve">Vereador </w:t>
      </w:r>
      <w:r w:rsidR="00E73650" w:rsidRPr="00161F3C">
        <w:rPr>
          <w:rFonts w:ascii="Times New Roman" w:eastAsia="Calibri" w:hAnsi="Times New Roman" w:cs="Times New Roman"/>
          <w:sz w:val="23"/>
          <w:szCs w:val="23"/>
        </w:rPr>
        <w:t>Vice-Presidente</w:t>
      </w:r>
      <w:bookmarkStart w:id="0" w:name="_GoBack"/>
      <w:bookmarkEnd w:id="0"/>
    </w:p>
    <w:sectPr w:rsidR="00487662" w:rsidRPr="00161F3C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C9A" w:rsidRDefault="006F1C9A" w:rsidP="00B17B53">
      <w:pPr>
        <w:spacing w:after="0" w:line="240" w:lineRule="auto"/>
      </w:pPr>
      <w:r>
        <w:separator/>
      </w:r>
    </w:p>
  </w:endnote>
  <w:end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C9A" w:rsidRDefault="006F1C9A" w:rsidP="00B17B53">
      <w:pPr>
        <w:spacing w:after="0" w:line="240" w:lineRule="auto"/>
      </w:pPr>
      <w:r>
        <w:separator/>
      </w:r>
    </w:p>
  </w:footnote>
  <w:foot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64A0643"/>
    <w:multiLevelType w:val="hybridMultilevel"/>
    <w:tmpl w:val="D7EE6834"/>
    <w:lvl w:ilvl="0" w:tplc="EA289A78">
      <w:start w:val="1"/>
      <w:numFmt w:val="upperRoman"/>
      <w:lvlText w:val="%1"/>
      <w:lvlJc w:val="left"/>
      <w:pPr>
        <w:ind w:left="1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0EDD9E">
      <w:start w:val="1"/>
      <w:numFmt w:val="lowerLetter"/>
      <w:lvlText w:val="%2"/>
      <w:lvlJc w:val="left"/>
      <w:pPr>
        <w:ind w:left="33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1E68FE">
      <w:start w:val="1"/>
      <w:numFmt w:val="lowerRoman"/>
      <w:lvlText w:val="%3"/>
      <w:lvlJc w:val="left"/>
      <w:pPr>
        <w:ind w:left="40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465FFC">
      <w:start w:val="1"/>
      <w:numFmt w:val="decimal"/>
      <w:lvlText w:val="%4"/>
      <w:lvlJc w:val="left"/>
      <w:pPr>
        <w:ind w:left="47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2249E4">
      <w:start w:val="1"/>
      <w:numFmt w:val="lowerLetter"/>
      <w:lvlText w:val="%5"/>
      <w:lvlJc w:val="left"/>
      <w:pPr>
        <w:ind w:left="54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2A471A">
      <w:start w:val="1"/>
      <w:numFmt w:val="lowerRoman"/>
      <w:lvlText w:val="%6"/>
      <w:lvlJc w:val="left"/>
      <w:pPr>
        <w:ind w:left="61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1E0C42">
      <w:start w:val="1"/>
      <w:numFmt w:val="decimal"/>
      <w:lvlText w:val="%7"/>
      <w:lvlJc w:val="left"/>
      <w:pPr>
        <w:ind w:left="69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26BB4A">
      <w:start w:val="1"/>
      <w:numFmt w:val="lowerLetter"/>
      <w:lvlText w:val="%8"/>
      <w:lvlJc w:val="left"/>
      <w:pPr>
        <w:ind w:left="76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7EC82E">
      <w:start w:val="1"/>
      <w:numFmt w:val="lowerRoman"/>
      <w:lvlText w:val="%9"/>
      <w:lvlJc w:val="left"/>
      <w:pPr>
        <w:ind w:left="83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D16E16"/>
    <w:multiLevelType w:val="hybridMultilevel"/>
    <w:tmpl w:val="1AB4EE84"/>
    <w:lvl w:ilvl="0" w:tplc="C07CEF4E">
      <w:start w:val="1"/>
      <w:numFmt w:val="upperRoman"/>
      <w:lvlText w:val="%1"/>
      <w:lvlJc w:val="left"/>
      <w:pPr>
        <w:ind w:left="22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1E3650">
      <w:start w:val="1"/>
      <w:numFmt w:val="lowerLetter"/>
      <w:lvlText w:val="%2"/>
      <w:lvlJc w:val="left"/>
      <w:pPr>
        <w:ind w:left="32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1003E0">
      <w:start w:val="1"/>
      <w:numFmt w:val="lowerRoman"/>
      <w:lvlText w:val="%3"/>
      <w:lvlJc w:val="left"/>
      <w:pPr>
        <w:ind w:left="39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98677E">
      <w:start w:val="1"/>
      <w:numFmt w:val="decimal"/>
      <w:lvlText w:val="%4"/>
      <w:lvlJc w:val="left"/>
      <w:pPr>
        <w:ind w:left="46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AE6E2E">
      <w:start w:val="1"/>
      <w:numFmt w:val="lowerLetter"/>
      <w:lvlText w:val="%5"/>
      <w:lvlJc w:val="left"/>
      <w:pPr>
        <w:ind w:left="53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F4D696">
      <w:start w:val="1"/>
      <w:numFmt w:val="lowerRoman"/>
      <w:lvlText w:val="%6"/>
      <w:lvlJc w:val="left"/>
      <w:pPr>
        <w:ind w:left="60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9CC4A2">
      <w:start w:val="1"/>
      <w:numFmt w:val="decimal"/>
      <w:lvlText w:val="%7"/>
      <w:lvlJc w:val="left"/>
      <w:pPr>
        <w:ind w:left="68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20A964">
      <w:start w:val="1"/>
      <w:numFmt w:val="lowerLetter"/>
      <w:lvlText w:val="%8"/>
      <w:lvlJc w:val="left"/>
      <w:pPr>
        <w:ind w:left="75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44C588">
      <w:start w:val="1"/>
      <w:numFmt w:val="lowerRoman"/>
      <w:lvlText w:val="%9"/>
      <w:lvlJc w:val="left"/>
      <w:pPr>
        <w:ind w:left="82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AF5080"/>
    <w:multiLevelType w:val="hybridMultilevel"/>
    <w:tmpl w:val="EDF0A798"/>
    <w:lvl w:ilvl="0" w:tplc="17CC6CC8">
      <w:start w:val="1"/>
      <w:numFmt w:val="lowerLetter"/>
      <w:lvlText w:val="%1)"/>
      <w:lvlJc w:val="left"/>
      <w:pPr>
        <w:ind w:left="2464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CE5110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463E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E6AB8A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3C70FE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8497FC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7804D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44A7CC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F0A6A0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A375FB"/>
    <w:multiLevelType w:val="hybridMultilevel"/>
    <w:tmpl w:val="DCF09FC8"/>
    <w:lvl w:ilvl="0" w:tplc="294240B0">
      <w:start w:val="2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263AAC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FCA32A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F8FDC2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B6C4E2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E20522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C6C56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5E9522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F21AC4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/>
        <w:iCs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2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20"/>
  </w:num>
  <w:num w:numId="9">
    <w:abstractNumId w:val="7"/>
  </w:num>
  <w:num w:numId="10">
    <w:abstractNumId w:val="17"/>
  </w:num>
  <w:num w:numId="11">
    <w:abstractNumId w:val="23"/>
  </w:num>
  <w:num w:numId="12">
    <w:abstractNumId w:val="12"/>
  </w:num>
  <w:num w:numId="13">
    <w:abstractNumId w:val="15"/>
  </w:num>
  <w:num w:numId="14">
    <w:abstractNumId w:val="24"/>
  </w:num>
  <w:num w:numId="15">
    <w:abstractNumId w:val="4"/>
  </w:num>
  <w:num w:numId="16">
    <w:abstractNumId w:val="14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1"/>
  </w:num>
  <w:num w:numId="22">
    <w:abstractNumId w:val="13"/>
  </w:num>
  <w:num w:numId="23">
    <w:abstractNumId w:val="16"/>
  </w:num>
  <w:num w:numId="24">
    <w:abstractNumId w:val="25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1F3C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670BB"/>
    <w:rsid w:val="00271DF1"/>
    <w:rsid w:val="002A1785"/>
    <w:rsid w:val="002C01A4"/>
    <w:rsid w:val="002C4E64"/>
    <w:rsid w:val="002E5DCE"/>
    <w:rsid w:val="003034B0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A3B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9608C"/>
    <w:rsid w:val="004B2EC3"/>
    <w:rsid w:val="004E0DD3"/>
    <w:rsid w:val="004F0611"/>
    <w:rsid w:val="004F60CE"/>
    <w:rsid w:val="005004AC"/>
    <w:rsid w:val="0050134F"/>
    <w:rsid w:val="005065DA"/>
    <w:rsid w:val="00516FBB"/>
    <w:rsid w:val="00524086"/>
    <w:rsid w:val="005268BE"/>
    <w:rsid w:val="005353EA"/>
    <w:rsid w:val="0053678C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752A2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0BB0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A5779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2A65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73CB6"/>
    <w:rsid w:val="00A80EC9"/>
    <w:rsid w:val="00A84864"/>
    <w:rsid w:val="00A95A5F"/>
    <w:rsid w:val="00AA0455"/>
    <w:rsid w:val="00AB1EB9"/>
    <w:rsid w:val="00AC1EE0"/>
    <w:rsid w:val="00AC2722"/>
    <w:rsid w:val="00AC6AB3"/>
    <w:rsid w:val="00AD19E9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326D3"/>
    <w:rsid w:val="00B45455"/>
    <w:rsid w:val="00B46249"/>
    <w:rsid w:val="00B54735"/>
    <w:rsid w:val="00B564B1"/>
    <w:rsid w:val="00B62C8D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527E3"/>
    <w:rsid w:val="00C61310"/>
    <w:rsid w:val="00C63CD1"/>
    <w:rsid w:val="00C64428"/>
    <w:rsid w:val="00C701B0"/>
    <w:rsid w:val="00C70447"/>
    <w:rsid w:val="00C709DF"/>
    <w:rsid w:val="00C74362"/>
    <w:rsid w:val="00C811EB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73650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5B8"/>
    <w:rsid w:val="00F527C6"/>
    <w:rsid w:val="00F56A49"/>
    <w:rsid w:val="00F60212"/>
    <w:rsid w:val="00F751A1"/>
    <w:rsid w:val="00F819AD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897CFDC"/>
  <w15:docId w15:val="{CB83DA7E-FA5D-433C-88F8-34E1D45F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8CC9-7883-4467-BEF8-414F6CBC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1499</Words>
  <Characters>8099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4</cp:revision>
  <cp:lastPrinted>2018-01-11T18:29:00Z</cp:lastPrinted>
  <dcterms:created xsi:type="dcterms:W3CDTF">2018-01-22T18:30:00Z</dcterms:created>
  <dcterms:modified xsi:type="dcterms:W3CDTF">2018-01-22T19:07:00Z</dcterms:modified>
</cp:coreProperties>
</file>