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3034B0" w:rsidRDefault="00487662" w:rsidP="00C811EB">
      <w:pPr>
        <w:tabs>
          <w:tab w:val="left" w:pos="1418"/>
          <w:tab w:val="left" w:pos="5059"/>
        </w:tabs>
        <w:spacing w:line="276" w:lineRule="auto"/>
        <w:jc w:val="center"/>
        <w:rPr>
          <w:rFonts w:ascii="Times New Roman" w:eastAsia="Calibri" w:hAnsi="Times New Roman" w:cs="Times New Roman"/>
          <w:b/>
          <w:sz w:val="23"/>
          <w:szCs w:val="23"/>
        </w:rPr>
      </w:pPr>
      <w:r w:rsidRPr="003034B0">
        <w:rPr>
          <w:rFonts w:ascii="Times New Roman" w:eastAsia="Calibri" w:hAnsi="Times New Roman" w:cs="Times New Roman"/>
          <w:b/>
          <w:sz w:val="23"/>
          <w:szCs w:val="23"/>
        </w:rPr>
        <w:t xml:space="preserve">COMISSÃO DE </w:t>
      </w:r>
      <w:r w:rsidR="006F00FC" w:rsidRPr="003034B0">
        <w:rPr>
          <w:rFonts w:ascii="Times New Roman" w:eastAsia="Calibri" w:hAnsi="Times New Roman" w:cs="Times New Roman"/>
          <w:b/>
          <w:sz w:val="23"/>
          <w:szCs w:val="23"/>
        </w:rPr>
        <w:t>LEGISLAÇÃO</w:t>
      </w:r>
      <w:r w:rsidRPr="003034B0">
        <w:rPr>
          <w:rFonts w:ascii="Times New Roman" w:eastAsia="Calibri" w:hAnsi="Times New Roman" w:cs="Times New Roman"/>
          <w:b/>
          <w:sz w:val="23"/>
          <w:szCs w:val="23"/>
        </w:rPr>
        <w:t xml:space="preserve"> E REDAÇÃO</w:t>
      </w:r>
      <w:r w:rsidR="006F00FC" w:rsidRPr="003034B0">
        <w:rPr>
          <w:rFonts w:ascii="Times New Roman" w:eastAsia="Calibri" w:hAnsi="Times New Roman" w:cs="Times New Roman"/>
          <w:b/>
          <w:sz w:val="23"/>
          <w:szCs w:val="23"/>
        </w:rPr>
        <w:t xml:space="preserve"> FINAL</w:t>
      </w:r>
    </w:p>
    <w:p w:rsidR="00487662" w:rsidRPr="003034B0" w:rsidRDefault="00487662" w:rsidP="00C811EB">
      <w:pPr>
        <w:tabs>
          <w:tab w:val="left" w:pos="1418"/>
          <w:tab w:val="left" w:pos="5059"/>
        </w:tabs>
        <w:spacing w:line="276" w:lineRule="auto"/>
        <w:jc w:val="center"/>
        <w:rPr>
          <w:rFonts w:ascii="Times New Roman" w:eastAsia="Calibri" w:hAnsi="Times New Roman" w:cs="Times New Roman"/>
          <w:b/>
          <w:sz w:val="23"/>
          <w:szCs w:val="23"/>
        </w:rPr>
      </w:pPr>
    </w:p>
    <w:p w:rsidR="00487662" w:rsidRPr="003034B0" w:rsidRDefault="00487662" w:rsidP="00C811EB">
      <w:pPr>
        <w:tabs>
          <w:tab w:val="left" w:pos="1418"/>
          <w:tab w:val="left" w:pos="5059"/>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Parecer:</w:t>
      </w:r>
      <w:r w:rsidRPr="003034B0">
        <w:rPr>
          <w:rFonts w:ascii="Times New Roman" w:eastAsia="Calibri" w:hAnsi="Times New Roman" w:cs="Times New Roman"/>
          <w:sz w:val="23"/>
          <w:szCs w:val="23"/>
        </w:rPr>
        <w:t xml:space="preserve"> </w:t>
      </w:r>
      <w:r w:rsidR="007549D6" w:rsidRPr="003034B0">
        <w:rPr>
          <w:rFonts w:ascii="Times New Roman" w:eastAsia="Calibri" w:hAnsi="Times New Roman" w:cs="Times New Roman"/>
          <w:sz w:val="23"/>
          <w:szCs w:val="23"/>
        </w:rPr>
        <w:t>0</w:t>
      </w:r>
      <w:r w:rsidR="00B326D3" w:rsidRPr="003034B0">
        <w:rPr>
          <w:rFonts w:ascii="Times New Roman" w:eastAsia="Calibri" w:hAnsi="Times New Roman" w:cs="Times New Roman"/>
          <w:sz w:val="23"/>
          <w:szCs w:val="23"/>
        </w:rPr>
        <w:t>8</w:t>
      </w:r>
      <w:r w:rsidRPr="003034B0">
        <w:rPr>
          <w:rFonts w:ascii="Times New Roman" w:eastAsia="Calibri" w:hAnsi="Times New Roman" w:cs="Times New Roman"/>
          <w:sz w:val="23"/>
          <w:szCs w:val="23"/>
        </w:rPr>
        <w:t>/201</w:t>
      </w:r>
      <w:r w:rsidR="007549D6" w:rsidRPr="003034B0">
        <w:rPr>
          <w:rFonts w:ascii="Times New Roman" w:eastAsia="Calibri" w:hAnsi="Times New Roman" w:cs="Times New Roman"/>
          <w:sz w:val="23"/>
          <w:szCs w:val="23"/>
        </w:rPr>
        <w:t>8</w:t>
      </w:r>
    </w:p>
    <w:p w:rsidR="00487662" w:rsidRPr="003034B0" w:rsidRDefault="00487662" w:rsidP="00C811EB">
      <w:pPr>
        <w:tabs>
          <w:tab w:val="left" w:pos="1418"/>
          <w:tab w:val="left" w:pos="4253"/>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Data:</w:t>
      </w:r>
      <w:r w:rsidRPr="003034B0">
        <w:rPr>
          <w:rFonts w:ascii="Times New Roman" w:eastAsia="Calibri" w:hAnsi="Times New Roman" w:cs="Times New Roman"/>
          <w:sz w:val="23"/>
          <w:szCs w:val="23"/>
        </w:rPr>
        <w:t xml:space="preserve"> </w:t>
      </w:r>
      <w:r w:rsidR="007549D6" w:rsidRPr="003034B0">
        <w:rPr>
          <w:rFonts w:ascii="Times New Roman" w:eastAsia="Calibri" w:hAnsi="Times New Roman" w:cs="Times New Roman"/>
          <w:sz w:val="23"/>
          <w:szCs w:val="23"/>
        </w:rPr>
        <w:t>1</w:t>
      </w:r>
      <w:r w:rsidR="00B326D3" w:rsidRPr="003034B0">
        <w:rPr>
          <w:rFonts w:ascii="Times New Roman" w:eastAsia="Calibri" w:hAnsi="Times New Roman" w:cs="Times New Roman"/>
          <w:sz w:val="23"/>
          <w:szCs w:val="23"/>
        </w:rPr>
        <w:t>5</w:t>
      </w:r>
      <w:r w:rsidRPr="003034B0">
        <w:rPr>
          <w:rFonts w:ascii="Times New Roman" w:eastAsia="Calibri" w:hAnsi="Times New Roman" w:cs="Times New Roman"/>
          <w:sz w:val="23"/>
          <w:szCs w:val="23"/>
        </w:rPr>
        <w:t xml:space="preserve"> de </w:t>
      </w:r>
      <w:r w:rsidR="00B326D3" w:rsidRPr="003034B0">
        <w:rPr>
          <w:rFonts w:ascii="Times New Roman" w:eastAsia="Calibri" w:hAnsi="Times New Roman" w:cs="Times New Roman"/>
          <w:sz w:val="23"/>
          <w:szCs w:val="23"/>
        </w:rPr>
        <w:t>fevereiro</w:t>
      </w:r>
      <w:r w:rsidRPr="003034B0">
        <w:rPr>
          <w:rFonts w:ascii="Times New Roman" w:eastAsia="Calibri" w:hAnsi="Times New Roman" w:cs="Times New Roman"/>
          <w:sz w:val="23"/>
          <w:szCs w:val="23"/>
        </w:rPr>
        <w:t xml:space="preserve"> de 201</w:t>
      </w:r>
      <w:r w:rsidR="007549D6" w:rsidRPr="003034B0">
        <w:rPr>
          <w:rFonts w:ascii="Times New Roman" w:eastAsia="Calibri" w:hAnsi="Times New Roman" w:cs="Times New Roman"/>
          <w:sz w:val="23"/>
          <w:szCs w:val="23"/>
        </w:rPr>
        <w:t>8</w:t>
      </w:r>
    </w:p>
    <w:p w:rsidR="00487662" w:rsidRPr="003034B0" w:rsidRDefault="00487662" w:rsidP="00C811EB">
      <w:pPr>
        <w:tabs>
          <w:tab w:val="left" w:pos="1418"/>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Matéria:</w:t>
      </w:r>
      <w:r w:rsidRPr="003034B0">
        <w:rPr>
          <w:rFonts w:ascii="Times New Roman" w:eastAsia="Calibri" w:hAnsi="Times New Roman" w:cs="Times New Roman"/>
          <w:sz w:val="23"/>
          <w:szCs w:val="23"/>
        </w:rPr>
        <w:t xml:space="preserve"> Projeto de Lei </w:t>
      </w:r>
      <w:r w:rsidR="007549D6" w:rsidRPr="003034B0">
        <w:rPr>
          <w:rFonts w:ascii="Times New Roman" w:eastAsia="Calibri" w:hAnsi="Times New Roman" w:cs="Times New Roman"/>
          <w:sz w:val="23"/>
          <w:szCs w:val="23"/>
        </w:rPr>
        <w:t xml:space="preserve">Ordinária </w:t>
      </w:r>
      <w:r w:rsidRPr="003034B0">
        <w:rPr>
          <w:rFonts w:ascii="Times New Roman" w:eastAsia="Calibri" w:hAnsi="Times New Roman" w:cs="Times New Roman"/>
          <w:sz w:val="23"/>
          <w:szCs w:val="23"/>
        </w:rPr>
        <w:t>nº 0</w:t>
      </w:r>
      <w:r w:rsidR="007549D6" w:rsidRPr="003034B0">
        <w:rPr>
          <w:rFonts w:ascii="Times New Roman" w:eastAsia="Calibri" w:hAnsi="Times New Roman" w:cs="Times New Roman"/>
          <w:sz w:val="23"/>
          <w:szCs w:val="23"/>
        </w:rPr>
        <w:t>0</w:t>
      </w:r>
      <w:r w:rsidR="00B326D3" w:rsidRPr="003034B0">
        <w:rPr>
          <w:rFonts w:ascii="Times New Roman" w:eastAsia="Calibri" w:hAnsi="Times New Roman" w:cs="Times New Roman"/>
          <w:sz w:val="23"/>
          <w:szCs w:val="23"/>
        </w:rPr>
        <w:t>6</w:t>
      </w:r>
      <w:r w:rsidRPr="003034B0">
        <w:rPr>
          <w:rFonts w:ascii="Times New Roman" w:eastAsia="Calibri" w:hAnsi="Times New Roman" w:cs="Times New Roman"/>
          <w:sz w:val="23"/>
          <w:szCs w:val="23"/>
        </w:rPr>
        <w:t>/201</w:t>
      </w:r>
      <w:r w:rsidR="007549D6" w:rsidRPr="003034B0">
        <w:rPr>
          <w:rFonts w:ascii="Times New Roman" w:eastAsia="Calibri" w:hAnsi="Times New Roman" w:cs="Times New Roman"/>
          <w:sz w:val="23"/>
          <w:szCs w:val="23"/>
        </w:rPr>
        <w:t>8</w:t>
      </w:r>
      <w:r w:rsidRPr="003034B0">
        <w:rPr>
          <w:rFonts w:ascii="Times New Roman" w:eastAsia="Calibri" w:hAnsi="Times New Roman" w:cs="Times New Roman"/>
          <w:sz w:val="23"/>
          <w:szCs w:val="23"/>
        </w:rPr>
        <w:t xml:space="preserve"> </w:t>
      </w:r>
    </w:p>
    <w:p w:rsidR="00C811EB" w:rsidRPr="003034B0" w:rsidRDefault="00C811EB" w:rsidP="008A5779">
      <w:pPr>
        <w:pStyle w:val="Default"/>
        <w:spacing w:line="276" w:lineRule="auto"/>
        <w:jc w:val="both"/>
        <w:rPr>
          <w:rFonts w:ascii="Times New Roman" w:eastAsia="Calibri" w:hAnsi="Times New Roman" w:cs="Times New Roman"/>
          <w:b/>
          <w:bCs/>
          <w:sz w:val="23"/>
          <w:szCs w:val="23"/>
        </w:rPr>
      </w:pPr>
      <w:r w:rsidRPr="003034B0">
        <w:rPr>
          <w:rFonts w:ascii="Times New Roman" w:eastAsia="Calibri" w:hAnsi="Times New Roman" w:cs="Times New Roman"/>
          <w:b/>
          <w:sz w:val="23"/>
          <w:szCs w:val="23"/>
        </w:rPr>
        <w:t xml:space="preserve">Ementa: </w:t>
      </w:r>
      <w:r w:rsidRPr="003034B0">
        <w:rPr>
          <w:rFonts w:ascii="Times New Roman" w:eastAsia="Calibri" w:hAnsi="Times New Roman" w:cs="Times New Roman"/>
          <w:sz w:val="23"/>
          <w:szCs w:val="23"/>
        </w:rPr>
        <w:t>“</w:t>
      </w:r>
      <w:r w:rsidR="00B326D3" w:rsidRPr="003034B0">
        <w:rPr>
          <w:rFonts w:ascii="Times New Roman" w:eastAsia="Calibri" w:hAnsi="Times New Roman" w:cs="Times New Roman"/>
          <w:sz w:val="23"/>
          <w:szCs w:val="23"/>
        </w:rPr>
        <w:t>Institui Contribuição de Melhoria e dá outras providências</w:t>
      </w:r>
      <w:r w:rsidRPr="003034B0">
        <w:rPr>
          <w:rFonts w:ascii="Times New Roman" w:eastAsia="Calibri" w:hAnsi="Times New Roman" w:cs="Times New Roman"/>
          <w:iCs/>
          <w:sz w:val="23"/>
          <w:szCs w:val="23"/>
        </w:rPr>
        <w:t>”.</w:t>
      </w:r>
    </w:p>
    <w:p w:rsidR="00487662" w:rsidRPr="003034B0" w:rsidRDefault="00487662" w:rsidP="00C811EB">
      <w:pPr>
        <w:tabs>
          <w:tab w:val="left" w:pos="1418"/>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Autor:</w:t>
      </w:r>
      <w:r w:rsidRPr="003034B0">
        <w:rPr>
          <w:rFonts w:ascii="Times New Roman" w:eastAsia="Calibri" w:hAnsi="Times New Roman" w:cs="Times New Roman"/>
          <w:sz w:val="23"/>
          <w:szCs w:val="23"/>
        </w:rPr>
        <w:t xml:space="preserve"> Poder Executivo</w:t>
      </w:r>
    </w:p>
    <w:p w:rsidR="00B326D3" w:rsidRPr="003034B0" w:rsidRDefault="00487662" w:rsidP="00C811EB">
      <w:pPr>
        <w:tabs>
          <w:tab w:val="left" w:pos="1418"/>
          <w:tab w:val="left" w:pos="4253"/>
        </w:tabs>
        <w:spacing w:line="276" w:lineRule="auto"/>
        <w:jc w:val="both"/>
        <w:rPr>
          <w:rFonts w:ascii="Times New Roman" w:eastAsia="Calibri" w:hAnsi="Times New Roman" w:cs="Times New Roman"/>
          <w:b/>
          <w:sz w:val="23"/>
          <w:szCs w:val="23"/>
        </w:rPr>
      </w:pPr>
      <w:r w:rsidRPr="003034B0">
        <w:rPr>
          <w:rFonts w:ascii="Times New Roman" w:eastAsia="Calibri" w:hAnsi="Times New Roman" w:cs="Times New Roman"/>
          <w:b/>
          <w:sz w:val="23"/>
          <w:szCs w:val="23"/>
        </w:rPr>
        <w:t>Relator:</w:t>
      </w:r>
      <w:r w:rsidR="009B2A65" w:rsidRPr="003034B0">
        <w:rPr>
          <w:rFonts w:ascii="Times New Roman" w:eastAsia="Calibri" w:hAnsi="Times New Roman" w:cs="Times New Roman"/>
          <w:b/>
          <w:sz w:val="23"/>
          <w:szCs w:val="23"/>
        </w:rPr>
        <w:t xml:space="preserve"> </w:t>
      </w:r>
      <w:proofErr w:type="spellStart"/>
      <w:r w:rsidR="00A82025">
        <w:rPr>
          <w:rFonts w:ascii="Times New Roman" w:eastAsia="Calibri" w:hAnsi="Times New Roman" w:cs="Times New Roman"/>
          <w:b/>
          <w:sz w:val="23"/>
          <w:szCs w:val="23"/>
        </w:rPr>
        <w:t>Erni</w:t>
      </w:r>
      <w:proofErr w:type="spellEnd"/>
      <w:r w:rsidR="00A82025">
        <w:rPr>
          <w:rFonts w:ascii="Times New Roman" w:eastAsia="Calibri" w:hAnsi="Times New Roman" w:cs="Times New Roman"/>
          <w:b/>
          <w:sz w:val="23"/>
          <w:szCs w:val="23"/>
        </w:rPr>
        <w:t xml:space="preserve"> Branchini</w:t>
      </w:r>
      <w:bookmarkStart w:id="0" w:name="_GoBack"/>
      <w:bookmarkEnd w:id="0"/>
    </w:p>
    <w:p w:rsidR="000046B9" w:rsidRPr="003034B0" w:rsidRDefault="000046B9" w:rsidP="00C811EB">
      <w:pPr>
        <w:tabs>
          <w:tab w:val="left" w:pos="1418"/>
          <w:tab w:val="left" w:pos="4253"/>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 xml:space="preserve">Protocolo: </w:t>
      </w:r>
      <w:r w:rsidRPr="003034B0">
        <w:rPr>
          <w:rFonts w:ascii="Times New Roman" w:eastAsia="Calibri" w:hAnsi="Times New Roman" w:cs="Times New Roman"/>
          <w:sz w:val="23"/>
          <w:szCs w:val="23"/>
        </w:rPr>
        <w:t>05/01/2018</w:t>
      </w:r>
      <w:r w:rsidR="00375DA8" w:rsidRPr="003034B0">
        <w:rPr>
          <w:rFonts w:ascii="Times New Roman" w:eastAsia="Calibri" w:hAnsi="Times New Roman" w:cs="Times New Roman"/>
          <w:sz w:val="23"/>
          <w:szCs w:val="23"/>
        </w:rPr>
        <w:tab/>
        <w:t xml:space="preserve">     </w:t>
      </w:r>
      <w:r w:rsidR="007549D6" w:rsidRPr="003034B0">
        <w:rPr>
          <w:rFonts w:ascii="Times New Roman" w:eastAsia="Calibri" w:hAnsi="Times New Roman" w:cs="Times New Roman"/>
          <w:sz w:val="23"/>
          <w:szCs w:val="23"/>
        </w:rPr>
        <w:t xml:space="preserve">              </w:t>
      </w:r>
    </w:p>
    <w:p w:rsidR="00487662" w:rsidRPr="003034B0" w:rsidRDefault="00487662" w:rsidP="00C811EB">
      <w:pPr>
        <w:tabs>
          <w:tab w:val="left" w:pos="1418"/>
          <w:tab w:val="left" w:pos="4253"/>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b/>
          <w:sz w:val="23"/>
          <w:szCs w:val="23"/>
        </w:rPr>
        <w:t>Conclusão do Voto:</w:t>
      </w:r>
      <w:r w:rsidRPr="003034B0">
        <w:rPr>
          <w:rFonts w:ascii="Times New Roman" w:eastAsia="Calibri" w:hAnsi="Times New Roman" w:cs="Times New Roman"/>
          <w:sz w:val="23"/>
          <w:szCs w:val="23"/>
        </w:rPr>
        <w:t xml:space="preserve"> </w:t>
      </w:r>
      <w:r w:rsidR="00375DA8" w:rsidRPr="003034B0">
        <w:rPr>
          <w:rFonts w:ascii="Times New Roman" w:eastAsia="Calibri" w:hAnsi="Times New Roman" w:cs="Times New Roman"/>
          <w:sz w:val="23"/>
          <w:szCs w:val="23"/>
        </w:rPr>
        <w:t>favorável</w:t>
      </w:r>
      <w:r w:rsidR="007549D6" w:rsidRPr="003034B0">
        <w:rPr>
          <w:rFonts w:ascii="Times New Roman" w:eastAsia="Calibri" w:hAnsi="Times New Roman" w:cs="Times New Roman"/>
          <w:sz w:val="23"/>
          <w:szCs w:val="23"/>
        </w:rPr>
        <w:t xml:space="preserve"> à tramitação da matéria</w:t>
      </w:r>
    </w:p>
    <w:p w:rsidR="00487662" w:rsidRPr="003034B0" w:rsidRDefault="00487662" w:rsidP="00C811EB">
      <w:pPr>
        <w:tabs>
          <w:tab w:val="left" w:pos="1418"/>
          <w:tab w:val="left" w:pos="5059"/>
        </w:tabs>
        <w:spacing w:line="276" w:lineRule="auto"/>
        <w:jc w:val="both"/>
        <w:rPr>
          <w:rFonts w:ascii="Times New Roman" w:eastAsia="Calibri" w:hAnsi="Times New Roman" w:cs="Times New Roman"/>
          <w:sz w:val="23"/>
          <w:szCs w:val="23"/>
        </w:rPr>
      </w:pPr>
    </w:p>
    <w:p w:rsidR="00487662" w:rsidRPr="003034B0" w:rsidRDefault="00487662" w:rsidP="00C811EB">
      <w:pPr>
        <w:tabs>
          <w:tab w:val="left" w:pos="1418"/>
          <w:tab w:val="left" w:pos="5059"/>
        </w:tabs>
        <w:spacing w:line="276" w:lineRule="auto"/>
        <w:jc w:val="center"/>
        <w:rPr>
          <w:rFonts w:ascii="Times New Roman" w:eastAsia="Calibri" w:hAnsi="Times New Roman" w:cs="Times New Roman"/>
          <w:b/>
          <w:sz w:val="23"/>
          <w:szCs w:val="23"/>
        </w:rPr>
      </w:pPr>
      <w:r w:rsidRPr="003034B0">
        <w:rPr>
          <w:rFonts w:ascii="Times New Roman" w:eastAsia="Calibri" w:hAnsi="Times New Roman" w:cs="Times New Roman"/>
          <w:b/>
          <w:sz w:val="23"/>
          <w:szCs w:val="23"/>
        </w:rPr>
        <w:t>Relatório:</w:t>
      </w:r>
    </w:p>
    <w:p w:rsidR="00B326D3" w:rsidRPr="003034B0" w:rsidRDefault="00487662" w:rsidP="00B326D3">
      <w:pPr>
        <w:tabs>
          <w:tab w:val="left" w:pos="2268"/>
          <w:tab w:val="left" w:pos="5059"/>
        </w:tabs>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ab/>
        <w:t xml:space="preserve">O Projeto de Lei em análise foi apresentado nesta Casa Legislativa no dia </w:t>
      </w:r>
      <w:r w:rsidR="003C3380" w:rsidRPr="003034B0">
        <w:rPr>
          <w:rFonts w:ascii="Times New Roman" w:eastAsia="Calibri" w:hAnsi="Times New Roman" w:cs="Times New Roman"/>
          <w:sz w:val="23"/>
          <w:szCs w:val="23"/>
        </w:rPr>
        <w:t>05</w:t>
      </w:r>
      <w:r w:rsidRPr="003034B0">
        <w:rPr>
          <w:rFonts w:ascii="Times New Roman" w:eastAsia="Calibri" w:hAnsi="Times New Roman" w:cs="Times New Roman"/>
          <w:sz w:val="23"/>
          <w:szCs w:val="23"/>
        </w:rPr>
        <w:t xml:space="preserve"> de </w:t>
      </w:r>
      <w:r w:rsidR="003C3380" w:rsidRPr="003034B0">
        <w:rPr>
          <w:rFonts w:ascii="Times New Roman" w:eastAsia="Calibri" w:hAnsi="Times New Roman" w:cs="Times New Roman"/>
          <w:sz w:val="23"/>
          <w:szCs w:val="23"/>
        </w:rPr>
        <w:t>jan</w:t>
      </w:r>
      <w:r w:rsidR="008F7957" w:rsidRPr="003034B0">
        <w:rPr>
          <w:rFonts w:ascii="Times New Roman" w:eastAsia="Calibri" w:hAnsi="Times New Roman" w:cs="Times New Roman"/>
          <w:sz w:val="23"/>
          <w:szCs w:val="23"/>
        </w:rPr>
        <w:t>e</w:t>
      </w:r>
      <w:r w:rsidR="003C3380" w:rsidRPr="003034B0">
        <w:rPr>
          <w:rFonts w:ascii="Times New Roman" w:eastAsia="Calibri" w:hAnsi="Times New Roman" w:cs="Times New Roman"/>
          <w:sz w:val="23"/>
          <w:szCs w:val="23"/>
        </w:rPr>
        <w:t>iro de 2018</w:t>
      </w:r>
      <w:r w:rsidRPr="003034B0">
        <w:rPr>
          <w:rFonts w:ascii="Times New Roman" w:eastAsia="Calibri" w:hAnsi="Times New Roman" w:cs="Times New Roman"/>
          <w:sz w:val="23"/>
          <w:szCs w:val="23"/>
        </w:rPr>
        <w:t>,</w:t>
      </w:r>
      <w:r w:rsidR="008F7957" w:rsidRPr="003034B0">
        <w:rPr>
          <w:rFonts w:ascii="Times New Roman" w:eastAsia="Calibri" w:hAnsi="Times New Roman" w:cs="Times New Roman"/>
          <w:sz w:val="23"/>
          <w:szCs w:val="23"/>
        </w:rPr>
        <w:t xml:space="preserve"> que</w:t>
      </w:r>
      <w:r w:rsidR="0098342C" w:rsidRPr="003034B0">
        <w:rPr>
          <w:rFonts w:ascii="Times New Roman" w:eastAsia="Calibri" w:hAnsi="Times New Roman" w:cs="Times New Roman"/>
          <w:sz w:val="23"/>
          <w:szCs w:val="23"/>
        </w:rPr>
        <w:t xml:space="preserve"> requer autorização legislativa para </w:t>
      </w:r>
      <w:r w:rsidR="00B326D3" w:rsidRPr="003034B0">
        <w:rPr>
          <w:rFonts w:ascii="Times New Roman" w:eastAsia="Calibri" w:hAnsi="Times New Roman" w:cs="Times New Roman"/>
          <w:sz w:val="23"/>
          <w:szCs w:val="23"/>
        </w:rPr>
        <w:t>instituir contribuição de melhoria</w:t>
      </w:r>
      <w:r w:rsidR="00B326D3" w:rsidRPr="003034B0">
        <w:rPr>
          <w:rFonts w:ascii="Arial" w:eastAsia="Arial" w:hAnsi="Arial" w:cs="Arial"/>
          <w:color w:val="000000"/>
          <w:sz w:val="23"/>
          <w:szCs w:val="23"/>
          <w:lang w:eastAsia="pt-BR"/>
        </w:rPr>
        <w:t xml:space="preserve"> </w:t>
      </w:r>
      <w:r w:rsidR="00B326D3" w:rsidRPr="003034B0">
        <w:rPr>
          <w:rFonts w:ascii="Times New Roman" w:eastAsia="Calibri" w:hAnsi="Times New Roman" w:cs="Times New Roman"/>
          <w:sz w:val="23"/>
          <w:szCs w:val="23"/>
        </w:rPr>
        <w:t>na Rua Belém e Travessa Moura, no bairro Moura,</w:t>
      </w:r>
      <w:proofErr w:type="gramStart"/>
      <w:r w:rsidR="00B326D3" w:rsidRPr="003034B0">
        <w:rPr>
          <w:rFonts w:ascii="Times New Roman" w:eastAsia="Calibri" w:hAnsi="Times New Roman" w:cs="Times New Roman"/>
          <w:sz w:val="23"/>
          <w:szCs w:val="23"/>
        </w:rPr>
        <w:t xml:space="preserve">  </w:t>
      </w:r>
      <w:proofErr w:type="gramEnd"/>
      <w:r w:rsidR="00B326D3" w:rsidRPr="003034B0">
        <w:rPr>
          <w:rFonts w:ascii="Times New Roman" w:eastAsia="Calibri" w:hAnsi="Times New Roman" w:cs="Times New Roman"/>
          <w:sz w:val="23"/>
          <w:szCs w:val="23"/>
        </w:rPr>
        <w:t xml:space="preserve">nesta cidade. Aduz na justificativa que a via pública receberá pavimentação asfáltica em CBUQ, drenagem pluvial, meios-fios e sinalização horizontal e vertical. Refere ainda que a contribuição de melhoria é um tributo que requer formalidade para constituição do crédito pelo município, tais como aprovação prévia na lei para sua instituição, publicação de editais e comprovação da valorização decorrente da obra pública, e que o recurso cobrado pelo município é utilizado para fomentar novas obras, em locais ainda não contemplados, promovendo melhorias constantes e contínuas em todo território urbano e rural. Assim, a proposição tem por escopo instituir o tributo, decorrente da valorização patrimonial do imóvel beneficiado com a obra pública em proporção maior do que o custo dispendido com a obra, o que, além de valorizar o patrimônio privado do cidadão, evidencia melhoria na qualidade de vida dos beneficiários, tornando os imóveis mais acessíveis, organizados, belos e ainda incentiva outras ações positivas, como a definição dos passeios públicos pelos moradores da rua. </w:t>
      </w:r>
    </w:p>
    <w:p w:rsidR="00487662" w:rsidRPr="003034B0" w:rsidRDefault="00487662" w:rsidP="00C811EB">
      <w:pPr>
        <w:tabs>
          <w:tab w:val="left" w:pos="2268"/>
          <w:tab w:val="left" w:pos="5059"/>
        </w:tabs>
        <w:spacing w:line="276" w:lineRule="auto"/>
        <w:ind w:firstLine="2268"/>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O projeto já foi analisado pela Procuradora Geral da Casa, a qual proferiu </w:t>
      </w:r>
      <w:r w:rsidR="00D56492" w:rsidRPr="003034B0">
        <w:rPr>
          <w:rFonts w:ascii="Times New Roman" w:eastAsia="Calibri" w:hAnsi="Times New Roman" w:cs="Times New Roman"/>
          <w:sz w:val="23"/>
          <w:szCs w:val="23"/>
        </w:rPr>
        <w:t>Orientação Jurídica</w:t>
      </w:r>
      <w:r w:rsidRPr="003034B0">
        <w:rPr>
          <w:rFonts w:ascii="Times New Roman" w:eastAsia="Calibri" w:hAnsi="Times New Roman" w:cs="Times New Roman"/>
          <w:sz w:val="23"/>
          <w:szCs w:val="23"/>
        </w:rPr>
        <w:t xml:space="preserve"> nº </w:t>
      </w:r>
      <w:r w:rsidR="00D56492" w:rsidRPr="003034B0">
        <w:rPr>
          <w:rFonts w:ascii="Times New Roman" w:eastAsia="Calibri" w:hAnsi="Times New Roman" w:cs="Times New Roman"/>
          <w:sz w:val="23"/>
          <w:szCs w:val="23"/>
        </w:rPr>
        <w:t>0</w:t>
      </w:r>
      <w:r w:rsidR="00B62C8D" w:rsidRPr="003034B0">
        <w:rPr>
          <w:rFonts w:ascii="Times New Roman" w:eastAsia="Calibri" w:hAnsi="Times New Roman" w:cs="Times New Roman"/>
          <w:sz w:val="23"/>
          <w:szCs w:val="23"/>
        </w:rPr>
        <w:t>7</w:t>
      </w:r>
      <w:r w:rsidR="00D56492" w:rsidRPr="003034B0">
        <w:rPr>
          <w:rFonts w:ascii="Times New Roman" w:eastAsia="Calibri" w:hAnsi="Times New Roman" w:cs="Times New Roman"/>
          <w:sz w:val="23"/>
          <w:szCs w:val="23"/>
        </w:rPr>
        <w:t>/2018</w:t>
      </w:r>
      <w:r w:rsidR="00375DA8" w:rsidRPr="003034B0">
        <w:rPr>
          <w:rFonts w:ascii="Times New Roman" w:eastAsia="Calibri" w:hAnsi="Times New Roman" w:cs="Times New Roman"/>
          <w:sz w:val="23"/>
          <w:szCs w:val="23"/>
        </w:rPr>
        <w:t>,</w:t>
      </w:r>
      <w:r w:rsidRPr="003034B0">
        <w:rPr>
          <w:rFonts w:ascii="Times New Roman" w:eastAsia="Calibri" w:hAnsi="Times New Roman" w:cs="Times New Roman"/>
          <w:sz w:val="23"/>
          <w:szCs w:val="23"/>
        </w:rPr>
        <w:t xml:space="preserve"> </w:t>
      </w:r>
      <w:r w:rsidR="00375DA8" w:rsidRPr="003034B0">
        <w:rPr>
          <w:rFonts w:ascii="Times New Roman" w:hAnsi="Times New Roman" w:cs="Times New Roman"/>
          <w:b/>
          <w:bCs/>
          <w:sz w:val="23"/>
          <w:szCs w:val="23"/>
        </w:rPr>
        <w:t xml:space="preserve">favorável </w:t>
      </w:r>
      <w:r w:rsidR="00375DA8" w:rsidRPr="003034B0">
        <w:rPr>
          <w:rFonts w:ascii="Times New Roman" w:hAnsi="Times New Roman" w:cs="Times New Roman"/>
          <w:sz w:val="23"/>
          <w:szCs w:val="23"/>
        </w:rPr>
        <w:t>à tramitação</w:t>
      </w:r>
      <w:r w:rsidR="00C20D7C" w:rsidRPr="003034B0">
        <w:rPr>
          <w:rFonts w:ascii="Times New Roman" w:hAnsi="Times New Roman" w:cs="Times New Roman"/>
          <w:sz w:val="23"/>
          <w:szCs w:val="23"/>
        </w:rPr>
        <w:t xml:space="preserve"> </w:t>
      </w:r>
      <w:r w:rsidR="00434CA9" w:rsidRPr="003034B0">
        <w:rPr>
          <w:rFonts w:ascii="Times New Roman" w:hAnsi="Times New Roman" w:cs="Times New Roman"/>
          <w:sz w:val="23"/>
          <w:szCs w:val="23"/>
        </w:rPr>
        <w:t>d</w:t>
      </w:r>
      <w:r w:rsidR="00F527C6" w:rsidRPr="003034B0">
        <w:rPr>
          <w:rFonts w:ascii="Times New Roman" w:hAnsi="Times New Roman" w:cs="Times New Roman"/>
          <w:sz w:val="23"/>
          <w:szCs w:val="23"/>
        </w:rPr>
        <w:t xml:space="preserve">o PL </w:t>
      </w:r>
      <w:r w:rsidR="00D56492" w:rsidRPr="003034B0">
        <w:rPr>
          <w:rFonts w:ascii="Times New Roman" w:hAnsi="Times New Roman" w:cs="Times New Roman"/>
          <w:sz w:val="23"/>
          <w:szCs w:val="23"/>
        </w:rPr>
        <w:t>0</w:t>
      </w:r>
      <w:r w:rsidR="00B62C8D" w:rsidRPr="003034B0">
        <w:rPr>
          <w:rFonts w:ascii="Times New Roman" w:hAnsi="Times New Roman" w:cs="Times New Roman"/>
          <w:sz w:val="23"/>
          <w:szCs w:val="23"/>
        </w:rPr>
        <w:t>6</w:t>
      </w:r>
      <w:r w:rsidR="00F527C6" w:rsidRPr="003034B0">
        <w:rPr>
          <w:rFonts w:ascii="Times New Roman" w:hAnsi="Times New Roman" w:cs="Times New Roman"/>
          <w:sz w:val="23"/>
          <w:szCs w:val="23"/>
        </w:rPr>
        <w:t>/201</w:t>
      </w:r>
      <w:r w:rsidR="00D56492" w:rsidRPr="003034B0">
        <w:rPr>
          <w:rFonts w:ascii="Times New Roman" w:hAnsi="Times New Roman" w:cs="Times New Roman"/>
          <w:sz w:val="23"/>
          <w:szCs w:val="23"/>
        </w:rPr>
        <w:t>8</w:t>
      </w:r>
      <w:r w:rsidR="00434CA9" w:rsidRPr="003034B0">
        <w:rPr>
          <w:rFonts w:ascii="Times New Roman" w:hAnsi="Times New Roman" w:cs="Times New Roman"/>
          <w:sz w:val="23"/>
          <w:szCs w:val="23"/>
        </w:rPr>
        <w:t>,</w:t>
      </w:r>
      <w:r w:rsidR="00F527C6" w:rsidRPr="003034B0">
        <w:rPr>
          <w:rFonts w:ascii="Times New Roman" w:hAnsi="Times New Roman" w:cs="Times New Roman"/>
          <w:sz w:val="23"/>
          <w:szCs w:val="23"/>
        </w:rPr>
        <w:t xml:space="preserve"> </w:t>
      </w:r>
      <w:r w:rsidR="006C4A65" w:rsidRPr="003034B0">
        <w:rPr>
          <w:rFonts w:ascii="Times New Roman" w:hAnsi="Times New Roman" w:cs="Times New Roman"/>
          <w:sz w:val="23"/>
          <w:szCs w:val="23"/>
        </w:rPr>
        <w:t>pois atende as normas legais impostas, estando presentes a legalidade e constitucionalidade.</w:t>
      </w:r>
      <w:r w:rsidR="00375DA8" w:rsidRPr="003034B0">
        <w:rPr>
          <w:rFonts w:ascii="Times New Roman" w:hAnsi="Times New Roman" w:cs="Times New Roman"/>
          <w:b/>
          <w:bCs/>
          <w:sz w:val="23"/>
          <w:szCs w:val="23"/>
        </w:rPr>
        <w:t xml:space="preserve"> </w:t>
      </w:r>
      <w:r w:rsidRPr="003034B0">
        <w:rPr>
          <w:rFonts w:ascii="Times New Roman" w:eastAsia="Calibri" w:hAnsi="Times New Roman" w:cs="Times New Roman"/>
          <w:sz w:val="23"/>
          <w:szCs w:val="23"/>
        </w:rPr>
        <w:t xml:space="preserve">Tal </w:t>
      </w:r>
      <w:r w:rsidR="00D56492" w:rsidRPr="003034B0">
        <w:rPr>
          <w:rFonts w:ascii="Times New Roman" w:eastAsia="Calibri" w:hAnsi="Times New Roman" w:cs="Times New Roman"/>
          <w:sz w:val="23"/>
          <w:szCs w:val="23"/>
        </w:rPr>
        <w:t>orientação</w:t>
      </w:r>
      <w:r w:rsidRPr="003034B0">
        <w:rPr>
          <w:rFonts w:ascii="Times New Roman" w:eastAsia="Calibri" w:hAnsi="Times New Roman" w:cs="Times New Roman"/>
          <w:sz w:val="23"/>
          <w:szCs w:val="23"/>
        </w:rPr>
        <w:t xml:space="preserve"> jurídic</w:t>
      </w:r>
      <w:r w:rsidR="00D56492" w:rsidRPr="003034B0">
        <w:rPr>
          <w:rFonts w:ascii="Times New Roman" w:eastAsia="Calibri" w:hAnsi="Times New Roman" w:cs="Times New Roman"/>
          <w:sz w:val="23"/>
          <w:szCs w:val="23"/>
        </w:rPr>
        <w:t>a</w:t>
      </w:r>
      <w:r w:rsidRPr="003034B0">
        <w:rPr>
          <w:rFonts w:ascii="Times New Roman" w:eastAsia="Calibri" w:hAnsi="Times New Roman" w:cs="Times New Roman"/>
          <w:sz w:val="23"/>
          <w:szCs w:val="23"/>
        </w:rPr>
        <w:t xml:space="preserve"> embasa a elaboração do presente parecer.</w:t>
      </w:r>
    </w:p>
    <w:p w:rsidR="00C518D5" w:rsidRPr="003034B0" w:rsidRDefault="00C518D5" w:rsidP="00C811EB">
      <w:pPr>
        <w:tabs>
          <w:tab w:val="left" w:pos="1418"/>
          <w:tab w:val="left" w:pos="5059"/>
        </w:tabs>
        <w:spacing w:line="276" w:lineRule="auto"/>
        <w:jc w:val="center"/>
        <w:rPr>
          <w:rFonts w:ascii="Times New Roman" w:eastAsia="Calibri" w:hAnsi="Times New Roman" w:cs="Times New Roman"/>
          <w:b/>
          <w:sz w:val="23"/>
          <w:szCs w:val="23"/>
        </w:rPr>
      </w:pPr>
    </w:p>
    <w:p w:rsidR="000E2A67" w:rsidRPr="003034B0" w:rsidRDefault="00487662" w:rsidP="00C811EB">
      <w:pPr>
        <w:tabs>
          <w:tab w:val="left" w:pos="1418"/>
          <w:tab w:val="left" w:pos="5059"/>
        </w:tabs>
        <w:spacing w:line="276" w:lineRule="auto"/>
        <w:jc w:val="center"/>
        <w:rPr>
          <w:rFonts w:ascii="Times New Roman" w:eastAsia="Calibri" w:hAnsi="Times New Roman" w:cs="Times New Roman"/>
          <w:b/>
          <w:sz w:val="23"/>
          <w:szCs w:val="23"/>
        </w:rPr>
      </w:pPr>
      <w:r w:rsidRPr="003034B0">
        <w:rPr>
          <w:rFonts w:ascii="Times New Roman" w:eastAsia="Calibri" w:hAnsi="Times New Roman" w:cs="Times New Roman"/>
          <w:b/>
          <w:sz w:val="23"/>
          <w:szCs w:val="23"/>
        </w:rPr>
        <w:t>Análise</w:t>
      </w:r>
      <w:r w:rsidR="000E2A67" w:rsidRPr="003034B0">
        <w:rPr>
          <w:rFonts w:ascii="Times New Roman" w:eastAsia="Calibri" w:hAnsi="Times New Roman" w:cs="Times New Roman"/>
          <w:b/>
          <w:sz w:val="23"/>
          <w:szCs w:val="23"/>
        </w:rPr>
        <w:t xml:space="preserve">: </w:t>
      </w:r>
    </w:p>
    <w:p w:rsidR="000E2A67" w:rsidRPr="003034B0" w:rsidRDefault="000E2A67" w:rsidP="00C811EB">
      <w:pPr>
        <w:tabs>
          <w:tab w:val="left" w:pos="1418"/>
          <w:tab w:val="left" w:pos="5059"/>
        </w:tabs>
        <w:spacing w:line="276" w:lineRule="auto"/>
        <w:rPr>
          <w:rFonts w:ascii="Times New Roman" w:eastAsia="Calibri" w:hAnsi="Times New Roman" w:cs="Times New Roman"/>
          <w:b/>
          <w:sz w:val="23"/>
          <w:szCs w:val="23"/>
        </w:rPr>
      </w:pPr>
      <w:r w:rsidRPr="003034B0">
        <w:rPr>
          <w:rFonts w:ascii="Times New Roman" w:eastAsia="Calibri" w:hAnsi="Times New Roman" w:cs="Times New Roman"/>
          <w:b/>
          <w:sz w:val="23"/>
          <w:szCs w:val="23"/>
        </w:rPr>
        <w:lastRenderedPageBreak/>
        <w:t xml:space="preserve">I – Quanto à área de Legislação </w:t>
      </w:r>
    </w:p>
    <w:p w:rsidR="000E2A67" w:rsidRPr="003034B0" w:rsidRDefault="000E2A67" w:rsidP="00C811EB">
      <w:pPr>
        <w:tabs>
          <w:tab w:val="left" w:pos="1418"/>
          <w:tab w:val="left" w:pos="5059"/>
        </w:tabs>
        <w:spacing w:line="276" w:lineRule="auto"/>
        <w:rPr>
          <w:rFonts w:ascii="Times New Roman" w:eastAsia="Calibri" w:hAnsi="Times New Roman" w:cs="Times New Roman"/>
          <w:b/>
          <w:sz w:val="23"/>
          <w:szCs w:val="23"/>
        </w:rPr>
      </w:pPr>
      <w:r w:rsidRPr="003034B0">
        <w:rPr>
          <w:rFonts w:ascii="Times New Roman" w:eastAsia="Calibri" w:hAnsi="Times New Roman" w:cs="Times New Roman"/>
          <w:b/>
          <w:sz w:val="23"/>
          <w:szCs w:val="23"/>
        </w:rPr>
        <w:t>Art. 54, I, do Regimento Interno desta Casa:</w:t>
      </w:r>
    </w:p>
    <w:p w:rsidR="000E2A67" w:rsidRPr="003034B0" w:rsidRDefault="000E2A67" w:rsidP="00C811EB">
      <w:pPr>
        <w:pStyle w:val="SemEspaamento"/>
        <w:spacing w:line="276" w:lineRule="auto"/>
        <w:jc w:val="center"/>
        <w:rPr>
          <w:rFonts w:ascii="Times New Roman" w:hAnsi="Times New Roman" w:cs="Times New Roman"/>
          <w:sz w:val="23"/>
          <w:szCs w:val="23"/>
          <w:u w:val="single"/>
        </w:rPr>
      </w:pPr>
      <w:r w:rsidRPr="003034B0">
        <w:rPr>
          <w:rFonts w:ascii="Times New Roman" w:hAnsi="Times New Roman" w:cs="Times New Roman"/>
          <w:sz w:val="23"/>
          <w:szCs w:val="23"/>
          <w:u w:val="single"/>
        </w:rPr>
        <w:t>Da Competência e Iniciativa</w:t>
      </w:r>
    </w:p>
    <w:p w:rsidR="00750BB0" w:rsidRPr="003034B0" w:rsidRDefault="00750BB0" w:rsidP="00C811EB">
      <w:pPr>
        <w:pStyle w:val="SemEspaamento"/>
        <w:spacing w:line="276" w:lineRule="auto"/>
        <w:jc w:val="center"/>
        <w:rPr>
          <w:rFonts w:ascii="Times New Roman" w:hAnsi="Times New Roman" w:cs="Times New Roman"/>
          <w:sz w:val="23"/>
          <w:szCs w:val="23"/>
          <w:u w:val="single"/>
        </w:rPr>
      </w:pP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sz w:val="23"/>
          <w:szCs w:val="23"/>
        </w:rPr>
        <w:t xml:space="preserve">O projeto versa sobre instituição da Contribuição de Melhoria, a ser exigida em decorrência de execução de obra pública, da qual decorra valorização imobiliária sobre patrimônio privado. </w:t>
      </w: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sz w:val="23"/>
          <w:szCs w:val="23"/>
        </w:rPr>
        <w:t xml:space="preserve">A contribuição de melhoria instituída no município é espécie tributária que tem por fato gerador a atuação estatal na realização de obra pública. Tem por escopo fazer com que os contribuintes beneficiados, direta ou indiretamente pela mesma, sejam responsabilizados pelo pagamento dos custos da melhoria, no limite da valorização imobiliária decorrente da respectiva obra pública. </w:t>
      </w: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sz w:val="23"/>
          <w:szCs w:val="23"/>
        </w:rPr>
        <w:t xml:space="preserve">Neste sentido, a iniciativa e competência para deflagrar o processo legislativo está corretamente exercida, porquanto pertence ao Poder Executivo Municipal a competência para iniciar o processo proposto, nos termos da Constituição Federal, art. 145, III, senão vejamos: </w:t>
      </w: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i/>
          <w:sz w:val="23"/>
          <w:szCs w:val="23"/>
        </w:rPr>
        <w:t xml:space="preserve">“Art. 145. A União, os Estados, o Distrito Federal e os Municípios poderão instituir os seguintes tributos: </w:t>
      </w:r>
    </w:p>
    <w:p w:rsidR="00B62C8D" w:rsidRPr="003034B0" w:rsidRDefault="00B62C8D" w:rsidP="00B62C8D">
      <w:pPr>
        <w:pStyle w:val="SemEspaamento"/>
        <w:spacing w:line="276" w:lineRule="auto"/>
        <w:jc w:val="both"/>
        <w:rPr>
          <w:rFonts w:ascii="Times New Roman" w:hAnsi="Times New Roman" w:cs="Times New Roman"/>
          <w:sz w:val="23"/>
          <w:szCs w:val="23"/>
        </w:rPr>
      </w:pPr>
      <w:r w:rsidRPr="003034B0">
        <w:rPr>
          <w:rFonts w:ascii="Times New Roman"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i/>
          <w:sz w:val="23"/>
          <w:szCs w:val="23"/>
        </w:rPr>
        <w:t xml:space="preserve">III - contribuição de melhoria, decorrente de obras públicas. </w:t>
      </w:r>
    </w:p>
    <w:p w:rsidR="00B62C8D" w:rsidRPr="003034B0" w:rsidRDefault="00B62C8D"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sz w:val="23"/>
          <w:szCs w:val="23"/>
        </w:rPr>
        <w:t xml:space="preserve">Na Lei Orgânica do Município, a competência para instituir tributos está disposta de forma privativa ao Chefe do Poder Executivo, conforme art. 60, incisos VI, X e XXI, </w:t>
      </w:r>
      <w:proofErr w:type="spellStart"/>
      <w:r w:rsidRPr="003034B0">
        <w:rPr>
          <w:rFonts w:ascii="Times New Roman" w:hAnsi="Times New Roman" w:cs="Times New Roman"/>
          <w:i/>
          <w:sz w:val="23"/>
          <w:szCs w:val="23"/>
        </w:rPr>
        <w:t>ex</w:t>
      </w:r>
      <w:proofErr w:type="spellEnd"/>
      <w:r w:rsidRPr="003034B0">
        <w:rPr>
          <w:rFonts w:ascii="Times New Roman" w:hAnsi="Times New Roman" w:cs="Times New Roman"/>
          <w:i/>
          <w:sz w:val="23"/>
          <w:szCs w:val="23"/>
        </w:rPr>
        <w:t xml:space="preserve"> positis</w:t>
      </w:r>
      <w:r w:rsidRPr="003034B0">
        <w:rPr>
          <w:rFonts w:ascii="Times New Roman" w:hAnsi="Times New Roman" w:cs="Times New Roman"/>
          <w:sz w:val="23"/>
          <w:szCs w:val="23"/>
        </w:rPr>
        <w:t xml:space="preserve">: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Art. 60 Compete privativamente ao Prefeito: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VI – dispor sobre a organização e o funcionamento da administração municipal na forma da lei;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X – planejar e promover a execução dos serviços públicos municipais;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 </w:t>
      </w:r>
    </w:p>
    <w:p w:rsidR="00B62C8D" w:rsidRPr="003034B0" w:rsidRDefault="00B62C8D" w:rsidP="00B62C8D">
      <w:pPr>
        <w:pStyle w:val="SemEspaamento"/>
        <w:spacing w:line="276" w:lineRule="auto"/>
        <w:ind w:firstLine="1560"/>
        <w:jc w:val="both"/>
        <w:rPr>
          <w:rFonts w:ascii="Times New Roman" w:hAnsi="Times New Roman" w:cs="Times New Roman"/>
          <w:sz w:val="23"/>
          <w:szCs w:val="23"/>
        </w:rPr>
      </w:pPr>
      <w:r w:rsidRPr="003034B0">
        <w:rPr>
          <w:rFonts w:ascii="Times New Roman" w:hAnsi="Times New Roman" w:cs="Times New Roman"/>
          <w:i/>
          <w:sz w:val="23"/>
          <w:szCs w:val="23"/>
        </w:rPr>
        <w:t xml:space="preserve">XXI – administrar os bens e as rendas municipais, promover o lançamento, a fiscalização e a arrecadação de tributos; </w:t>
      </w:r>
    </w:p>
    <w:p w:rsidR="00750BB0" w:rsidRPr="003034B0" w:rsidRDefault="00750BB0" w:rsidP="00B62C8D">
      <w:pPr>
        <w:pStyle w:val="SemEspaamento"/>
        <w:spacing w:line="276" w:lineRule="auto"/>
        <w:jc w:val="both"/>
        <w:rPr>
          <w:rFonts w:ascii="Times New Roman" w:hAnsi="Times New Roman" w:cs="Times New Roman"/>
          <w:sz w:val="23"/>
          <w:szCs w:val="23"/>
        </w:rPr>
      </w:pPr>
    </w:p>
    <w:p w:rsidR="005065DA" w:rsidRPr="003034B0" w:rsidRDefault="00750BB0" w:rsidP="00B62C8D">
      <w:pPr>
        <w:pStyle w:val="SemEspaamento"/>
        <w:spacing w:line="276" w:lineRule="auto"/>
        <w:ind w:firstLine="1701"/>
        <w:jc w:val="both"/>
        <w:rPr>
          <w:rFonts w:ascii="Times New Roman" w:hAnsi="Times New Roman" w:cs="Times New Roman"/>
          <w:sz w:val="23"/>
          <w:szCs w:val="23"/>
        </w:rPr>
      </w:pPr>
      <w:r w:rsidRPr="003034B0">
        <w:rPr>
          <w:rFonts w:ascii="Times New Roman" w:hAnsi="Times New Roman" w:cs="Times New Roman"/>
          <w:sz w:val="23"/>
          <w:szCs w:val="23"/>
        </w:rPr>
        <w:t xml:space="preserve">Assim, o presente PL encontra-se em conformidade com as normas legais vigentes, por ser de competência do Município normatização sobre a organização e o funcionamento da administração municipal, entre as quais a criação de cargos públicos, </w:t>
      </w:r>
      <w:r w:rsidRPr="003034B0">
        <w:rPr>
          <w:rFonts w:ascii="Times New Roman" w:hAnsi="Times New Roman" w:cs="Times New Roman"/>
          <w:b/>
          <w:bCs/>
          <w:sz w:val="23"/>
          <w:szCs w:val="23"/>
        </w:rPr>
        <w:t xml:space="preserve">NÃO </w:t>
      </w:r>
      <w:r w:rsidRPr="003034B0">
        <w:rPr>
          <w:rFonts w:ascii="Times New Roman" w:hAnsi="Times New Roman" w:cs="Times New Roman"/>
          <w:sz w:val="23"/>
          <w:szCs w:val="23"/>
        </w:rPr>
        <w:t>se registrando, desta forma, qualquer vício de origem na presente propositura, nos termos do art. 61, § 1º, II, “a”, da Constituição Federal.</w:t>
      </w:r>
    </w:p>
    <w:p w:rsidR="000E2A67" w:rsidRPr="003034B0" w:rsidRDefault="000E2A67" w:rsidP="00C811EB">
      <w:pPr>
        <w:pStyle w:val="SemEspaamento"/>
        <w:spacing w:line="276" w:lineRule="auto"/>
        <w:jc w:val="both"/>
        <w:rPr>
          <w:rFonts w:ascii="Times New Roman" w:hAnsi="Times New Roman" w:cs="Times New Roman"/>
          <w:sz w:val="23"/>
          <w:szCs w:val="23"/>
        </w:rPr>
      </w:pPr>
    </w:p>
    <w:p w:rsidR="000E2A67" w:rsidRPr="003034B0" w:rsidRDefault="000E2A67" w:rsidP="00C811EB">
      <w:pPr>
        <w:pStyle w:val="SemEspaamento"/>
        <w:spacing w:line="276" w:lineRule="auto"/>
        <w:jc w:val="center"/>
        <w:rPr>
          <w:rFonts w:ascii="Times New Roman" w:hAnsi="Times New Roman" w:cs="Times New Roman"/>
          <w:sz w:val="23"/>
          <w:szCs w:val="23"/>
          <w:u w:val="single"/>
        </w:rPr>
      </w:pPr>
      <w:r w:rsidRPr="003034B0">
        <w:rPr>
          <w:rFonts w:ascii="Times New Roman" w:hAnsi="Times New Roman" w:cs="Times New Roman"/>
          <w:sz w:val="23"/>
          <w:szCs w:val="23"/>
          <w:u w:val="single"/>
        </w:rPr>
        <w:t>Da constitucionalidade e legalidade</w:t>
      </w:r>
    </w:p>
    <w:p w:rsidR="00F751A1" w:rsidRPr="003034B0" w:rsidRDefault="00F751A1" w:rsidP="00B62C8D">
      <w:pPr>
        <w:pStyle w:val="SemEspaamento"/>
        <w:spacing w:line="276" w:lineRule="auto"/>
        <w:ind w:firstLine="1701"/>
        <w:jc w:val="both"/>
        <w:rPr>
          <w:rFonts w:ascii="Times New Roman" w:hAnsi="Times New Roman" w:cs="Times New Roman"/>
          <w:sz w:val="23"/>
          <w:szCs w:val="23"/>
        </w:rPr>
      </w:pP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A Constituição Federal estabelece competência aos municípios para legislarem sobre assuntos de interesse local, bem como para instituir e arrecadar tributos de sua competência, consoante o disposto no art. 30, I e III, da Constituição Federal, senão vejamos: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“Art. 30. Compete aos Municípios: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I - legislar sobre assuntos de interesse local;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III - instituir e arrecadar os tributos de sua competência, bem como aplicar suas rendas, sem prejuízo da obrigatoriedade de prestar contas e publicar balancetes nos prazos fixados em lei;”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Na Lei Orgânica, o art. 9º, estabelece os tributos de competência municipal, assim dispondo: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“Art. 9º São tributos de competência municipal: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III – Contribuição de Melhoria;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No Código Tributário Nacional, a contribuição de melhoria está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proofErr w:type="gramStart"/>
      <w:r w:rsidRPr="003034B0">
        <w:rPr>
          <w:rFonts w:ascii="Times New Roman" w:eastAsia="Calibri" w:hAnsi="Times New Roman" w:cs="Times New Roman"/>
          <w:sz w:val="23"/>
          <w:szCs w:val="23"/>
        </w:rPr>
        <w:t>descrita</w:t>
      </w:r>
      <w:proofErr w:type="gramEnd"/>
      <w:r w:rsidRPr="003034B0">
        <w:rPr>
          <w:rFonts w:ascii="Times New Roman" w:eastAsia="Calibri" w:hAnsi="Times New Roman" w:cs="Times New Roman"/>
          <w:sz w:val="23"/>
          <w:szCs w:val="23"/>
        </w:rPr>
        <w:t xml:space="preserve"> nos artigos 81 e 82,  transcritos respectivamente: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“Art. 81 - A contribuição de melhoria cobrada pela União, pelos Estados, pelo Distrito Federal ou pelos Municípios, no âmbito de suas respectivas atribuições, é instituída para fazer face ao custo de obras públicas de que decorra valorização imobiliária, tendo como limite total a despesa realizada e como limite individual o acréscimo de valor que da obra resultar para cada imóvel beneficiado.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Art. 82 - A lei relativa à contribuição de melhoria observará os seguintes requisitos mínimos: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I - publicação prévia dos seguintes elementos: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3"/>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memorial descritivo do projeto;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3"/>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orçamento do custo da obra;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3"/>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determinação da parcela do custo da obra a ser financiada pela contribuição;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3"/>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delimitação da zona beneficiada;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lastRenderedPageBreak/>
        <w:t xml:space="preserve"> </w:t>
      </w:r>
    </w:p>
    <w:p w:rsidR="00B62C8D" w:rsidRPr="003034B0" w:rsidRDefault="00B62C8D" w:rsidP="003D2A3B">
      <w:pPr>
        <w:pStyle w:val="SemEspaamento"/>
        <w:numPr>
          <w:ilvl w:val="0"/>
          <w:numId w:val="23"/>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determinação do fator de absorção do benefício da valorização para toda a zona ou para cada uma das áreas diferenciadas, nela contidas;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4"/>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fixação de prazo não inferior a 30 (trinta) dias, para impugnação, pelos interessados, de qualquer dos elementos referidos no inciso anterior; </w:t>
      </w:r>
    </w:p>
    <w:p w:rsidR="00B62C8D" w:rsidRPr="003034B0" w:rsidRDefault="00B62C8D" w:rsidP="003D2A3B">
      <w:pPr>
        <w:pStyle w:val="SemEspaamento"/>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3D2A3B">
      <w:pPr>
        <w:pStyle w:val="SemEspaamento"/>
        <w:numPr>
          <w:ilvl w:val="0"/>
          <w:numId w:val="24"/>
        </w:numPr>
        <w:spacing w:line="276" w:lineRule="auto"/>
        <w:ind w:left="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regulamentação do processo administrativo de instrução e julgamento da impugnação a que se refere o inciso anterior, sem prejuízo da sua apreciação judicial.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3D2A3B" w:rsidRPr="003034B0" w:rsidRDefault="00B62C8D" w:rsidP="00B62C8D">
      <w:pPr>
        <w:pStyle w:val="SemEspaamento"/>
        <w:spacing w:line="276" w:lineRule="auto"/>
        <w:ind w:firstLine="1701"/>
        <w:jc w:val="both"/>
        <w:rPr>
          <w:rFonts w:ascii="Times New Roman" w:eastAsia="Calibri" w:hAnsi="Times New Roman" w:cs="Times New Roman"/>
          <w:i/>
          <w:sz w:val="23"/>
          <w:szCs w:val="23"/>
        </w:rPr>
      </w:pPr>
      <w:r w:rsidRPr="003034B0">
        <w:rPr>
          <w:rFonts w:ascii="Times New Roman" w:eastAsia="Calibri" w:hAnsi="Times New Roman" w:cs="Times New Roman"/>
          <w:i/>
          <w:sz w:val="23"/>
          <w:szCs w:val="23"/>
        </w:rPr>
        <w:t xml:space="preserve">§ 1º - A contribuição relativa a cada imóvel será determinada pelo rateio da parcela do custo da obra a que se refere à alínea c, do inciso I, pelos imóveis situados na zona beneficiada em função dos respectivos fatores individuais de valorização.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2º - Por ocasião do respectivo lançamento, cada contribuinte deverá ser notificado do montante da contribuição, da forma e dos prazos de seu pagamento e dos elementos que integraram o respectivo cálculo.”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Temos ainda a considerar o disposto no artigo 3°, caput e parágrafos 1° e 2° do Decreto-lei n° 195/67, que redigem a base de cálculo da contribuição de melhoria: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“Art. 3º - A Contribuição de Melhoria a ser exigida pela União, Estados, Distrito Federal e Municípios, para fazer face ao custo das obras públicas, será cobrada pela Unidade administrativa que as realizar, adotando-se como critério o benefício resultante da obra, calculado através de índices cadastrais das respectivas zonas de influência, a serem fixados em regulamentação deste Decreto-Lei.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 1º - A apuração, dependendo da natureza das obras, far-se-á levando em conta a situação do imóvel na zona de influência, sua testada, área, finalidade de exploração econômica e outros elementos a serem considerados, isolada ou conjuntamente.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2º - A determinação da Contribuição de Melhoria far-se-á rateando, proporcionalmente, o custo parcial ou total das obras, entre todos os imóveis incluídos nas respectivas zonas de influência.”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Portanto, o conceito da contribuição de melhoria deve ser definido através de interpretação sistêmica, levando-se em conta diversas disposições legais, conforme acima elencado.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A cobrança da contribuição de melhoria é legitimada sempre que da execução de obra pública decorrer valorização imobiliária, fundada no princípio da equidade. De fato, não é justo que toda comunidade arque com o custo de uma obra pública que traz benefício direto e específico a certas pessoas.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lastRenderedPageBreak/>
        <w:t xml:space="preserve">Dessa forma o fato gerador da contribuição de melhoria é visivelmente, o benefício acrescido a um bem imóvel particular decorrente de obra pública.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Muito embora a contribuição de melhoria possa ser confundida com Taxas, em razão da existência de uma prestação estatal em ambas, a</w:t>
      </w:r>
      <w:r w:rsidRPr="003034B0">
        <w:rPr>
          <w:rFonts w:ascii="Times New Roman" w:eastAsia="Calibri" w:hAnsi="Times New Roman" w:cs="Times New Roman"/>
          <w:sz w:val="23"/>
          <w:szCs w:val="23"/>
          <w:vertAlign w:val="subscript"/>
        </w:rPr>
        <w:t xml:space="preserve"> </w:t>
      </w:r>
      <w:r w:rsidRPr="003034B0">
        <w:rPr>
          <w:rFonts w:ascii="Times New Roman" w:eastAsia="Calibri" w:hAnsi="Times New Roman" w:cs="Times New Roman"/>
          <w:sz w:val="23"/>
          <w:szCs w:val="23"/>
        </w:rPr>
        <w:t>diferença</w:t>
      </w:r>
      <w:proofErr w:type="gramStart"/>
      <w:r w:rsidRPr="003034B0">
        <w:rPr>
          <w:rFonts w:ascii="Times New Roman" w:eastAsia="Calibri" w:hAnsi="Times New Roman" w:cs="Times New Roman"/>
          <w:sz w:val="23"/>
          <w:szCs w:val="23"/>
        </w:rPr>
        <w:t xml:space="preserve"> </w:t>
      </w:r>
      <w:r w:rsidRPr="003034B0">
        <w:rPr>
          <w:rFonts w:ascii="Times New Roman" w:eastAsia="Calibri" w:hAnsi="Times New Roman" w:cs="Times New Roman"/>
          <w:sz w:val="23"/>
          <w:szCs w:val="23"/>
          <w:vertAlign w:val="subscript"/>
        </w:rPr>
        <w:t xml:space="preserve"> </w:t>
      </w:r>
      <w:proofErr w:type="gramEnd"/>
      <w:r w:rsidRPr="003034B0">
        <w:rPr>
          <w:rFonts w:ascii="Times New Roman" w:eastAsia="Calibri" w:hAnsi="Times New Roman" w:cs="Times New Roman"/>
          <w:sz w:val="23"/>
          <w:szCs w:val="23"/>
        </w:rPr>
        <w:t xml:space="preserve">decorre principalmente no que tange ao fato gerador de cada uma delas.  Nas Taxas o fato gerador é o serviço público específico e divisível, posto à disposição do contribuinte, ou o exercício do poder de polícia. Já a Contribuição de Melhoria, ao contrário, tem como fato gerador o benefício advindo ao imóvel, benefício este em consequência da execução de obra pública e da qual decorra valorização imobiliária.  </w:t>
      </w:r>
    </w:p>
    <w:p w:rsidR="00B62C8D" w:rsidRPr="003034B0" w:rsidRDefault="003034B0"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H</w:t>
      </w:r>
      <w:r w:rsidR="00B62C8D" w:rsidRPr="003034B0">
        <w:rPr>
          <w:rFonts w:ascii="Times New Roman" w:eastAsia="Calibri" w:hAnsi="Times New Roman" w:cs="Times New Roman"/>
          <w:sz w:val="23"/>
          <w:szCs w:val="23"/>
        </w:rPr>
        <w:t>á de se observar que a lei específica é prévia à execução da obra pública. Significa dizer que só é possível se instituir a contribuição de melhoria antes da realização da obra pública. Na prática, cabe à Administração Municipal planejar a execução de obra pública, aprovar lei específica para instituição do tributo, publicar os editais respectivos previamente, com memorial descritivo da obra, a fim de que o contribuinte possa acompanhar a execução da obra pública, saber se os materiais constantes do memorial estão sendo empregados na obra, em conformidade com o planejado. Ao final da obra, deve a Administração Municipal publicar novamente os editais, confirmando se o planejamento prévio foi cumprido (pode ocorrer alguma divergência na execução da obra, como por exemplo alguma detonação não prevista e necessária ao encontrar alguma rocha no trecho da obra, não identificada no projeto). Enfim, ao final da obra o edital vai confirmar os materiais efetivamente empregados na sua execução, seus quantitativos e custos, dando o custo global da obra pública,</w:t>
      </w:r>
      <w:proofErr w:type="gramStart"/>
      <w:r w:rsidR="00B62C8D" w:rsidRPr="003034B0">
        <w:rPr>
          <w:rFonts w:ascii="Times New Roman" w:eastAsia="Calibri" w:hAnsi="Times New Roman" w:cs="Times New Roman"/>
          <w:sz w:val="23"/>
          <w:szCs w:val="23"/>
        </w:rPr>
        <w:t xml:space="preserve">  </w:t>
      </w:r>
      <w:proofErr w:type="gramEnd"/>
      <w:r w:rsidR="00B62C8D" w:rsidRPr="003034B0">
        <w:rPr>
          <w:rFonts w:ascii="Times New Roman" w:eastAsia="Calibri" w:hAnsi="Times New Roman" w:cs="Times New Roman"/>
          <w:sz w:val="23"/>
          <w:szCs w:val="23"/>
        </w:rPr>
        <w:t xml:space="preserve">e o rateio cabível entre os beneficiários. Paralelamente, há de se observar a valorização imobiliária decorrente da execução da obra pública, se excede os custos, observando os limites individuais e globais, conforme já referido.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i/>
          <w:sz w:val="23"/>
          <w:szCs w:val="23"/>
        </w:rPr>
        <w:t xml:space="preserve"> </w:t>
      </w:r>
      <w:r w:rsidRPr="003034B0">
        <w:rPr>
          <w:rFonts w:ascii="Times New Roman" w:eastAsia="Calibri" w:hAnsi="Times New Roman" w:cs="Times New Roman"/>
          <w:sz w:val="23"/>
          <w:szCs w:val="23"/>
        </w:rPr>
        <w:t xml:space="preserve">Em relação a exigibilidade do tributo, informamos que será necessário observar a exigência do cumprimento do princípio da anterioridade.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 Na legislação brasileira, este princípio está regulado pelo Art. 150 inciso III, “b”, “c, da Constituição Federal, que determina que não poderá ser cobrado tributo no mesmo exercício financeiro em que haja sido publicada a lei que os instituiu ou aumentou e antes de decorridos noventa dias da data em que haja sido publicada a lei (</w:t>
      </w:r>
      <w:proofErr w:type="spellStart"/>
      <w:r w:rsidRPr="003034B0">
        <w:rPr>
          <w:rFonts w:ascii="Times New Roman" w:eastAsia="Calibri" w:hAnsi="Times New Roman" w:cs="Times New Roman"/>
          <w:sz w:val="23"/>
          <w:szCs w:val="23"/>
        </w:rPr>
        <w:t>noventena</w:t>
      </w:r>
      <w:proofErr w:type="spellEnd"/>
      <w:r w:rsidRPr="003034B0">
        <w:rPr>
          <w:rFonts w:ascii="Times New Roman" w:eastAsia="Calibri" w:hAnsi="Times New Roman" w:cs="Times New Roman"/>
          <w:sz w:val="23"/>
          <w:szCs w:val="23"/>
        </w:rPr>
        <w:t xml:space="preserve">). </w:t>
      </w:r>
    </w:p>
    <w:p w:rsidR="00B62C8D" w:rsidRPr="003034B0" w:rsidRDefault="00B62C8D" w:rsidP="00B62C8D">
      <w:pPr>
        <w:pStyle w:val="SemEspaamento"/>
        <w:spacing w:line="276" w:lineRule="auto"/>
        <w:ind w:firstLine="1701"/>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Portanto, como o encaminhamento do PL, ora em análise, se deu em janeiro de 2018, havendo a respectiva aprovação neste exercício, poderá o Executivo Municipal realizar a obra pública no decorrer do ano, porém, a cobrança do tributo só poderá ser efetivada a partir de janeiro de 2019, em cumprimento ao princípio da anterioridade.  </w:t>
      </w:r>
    </w:p>
    <w:p w:rsidR="000E2A67" w:rsidRPr="003034B0" w:rsidRDefault="000E2A67" w:rsidP="00C811EB">
      <w:pPr>
        <w:pStyle w:val="SemEspaamento"/>
        <w:spacing w:line="276" w:lineRule="auto"/>
        <w:jc w:val="both"/>
        <w:rPr>
          <w:rFonts w:ascii="Times New Roman" w:eastAsia="Calibri" w:hAnsi="Times New Roman" w:cs="Times New Roman"/>
          <w:sz w:val="23"/>
          <w:szCs w:val="23"/>
        </w:rPr>
      </w:pPr>
    </w:p>
    <w:p w:rsidR="000E2A67" w:rsidRPr="003034B0" w:rsidRDefault="000E2A67" w:rsidP="00C811EB">
      <w:pPr>
        <w:pStyle w:val="SemEspaamento"/>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I – Quanto à área de Redação Final </w:t>
      </w:r>
    </w:p>
    <w:p w:rsidR="000E2A67" w:rsidRPr="003034B0" w:rsidRDefault="000E2A67" w:rsidP="00C811EB">
      <w:pPr>
        <w:pStyle w:val="SemEspaamento"/>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Art. 54, II, do Regimento Interno desta Casa:</w:t>
      </w:r>
    </w:p>
    <w:p w:rsidR="00C811EB" w:rsidRPr="003034B0" w:rsidRDefault="00C811EB" w:rsidP="00C811EB">
      <w:pPr>
        <w:pStyle w:val="SemEspaamento"/>
        <w:spacing w:line="276" w:lineRule="auto"/>
        <w:jc w:val="both"/>
        <w:rPr>
          <w:rFonts w:ascii="Times New Roman" w:eastAsia="Calibri" w:hAnsi="Times New Roman" w:cs="Times New Roman"/>
          <w:sz w:val="23"/>
          <w:szCs w:val="23"/>
        </w:rPr>
      </w:pPr>
    </w:p>
    <w:p w:rsidR="00F751A1" w:rsidRPr="003034B0" w:rsidRDefault="00F751A1" w:rsidP="00C811EB">
      <w:pPr>
        <w:pStyle w:val="SemEspaamento"/>
        <w:spacing w:line="276" w:lineRule="auto"/>
        <w:jc w:val="center"/>
        <w:rPr>
          <w:rFonts w:ascii="Times New Roman" w:hAnsi="Times New Roman" w:cs="Times New Roman"/>
          <w:sz w:val="23"/>
          <w:szCs w:val="23"/>
          <w:u w:val="single"/>
        </w:rPr>
      </w:pPr>
      <w:r w:rsidRPr="003034B0">
        <w:rPr>
          <w:rFonts w:ascii="Times New Roman" w:hAnsi="Times New Roman" w:cs="Times New Roman"/>
          <w:sz w:val="23"/>
          <w:szCs w:val="23"/>
          <w:u w:val="single"/>
        </w:rPr>
        <w:t>Da Técnica Legislativa</w:t>
      </w:r>
    </w:p>
    <w:p w:rsidR="00F751A1" w:rsidRPr="003034B0" w:rsidRDefault="00F751A1" w:rsidP="00B62C8D">
      <w:pPr>
        <w:pStyle w:val="SemEspaamento"/>
        <w:spacing w:line="276" w:lineRule="auto"/>
        <w:jc w:val="both"/>
        <w:rPr>
          <w:rFonts w:ascii="Times New Roman" w:hAnsi="Times New Roman" w:cs="Times New Roman"/>
          <w:sz w:val="23"/>
          <w:szCs w:val="23"/>
          <w:u w:val="single"/>
        </w:rPr>
      </w:pPr>
    </w:p>
    <w:p w:rsidR="00B62C8D" w:rsidRPr="003034B0" w:rsidRDefault="00B62C8D" w:rsidP="00B62C8D">
      <w:pPr>
        <w:pStyle w:val="SemEspaamento"/>
        <w:spacing w:line="276" w:lineRule="auto"/>
        <w:ind w:firstLine="2268"/>
        <w:jc w:val="both"/>
        <w:rPr>
          <w:rFonts w:ascii="Times New Roman" w:hAnsi="Times New Roman" w:cs="Times New Roman"/>
          <w:sz w:val="23"/>
          <w:szCs w:val="23"/>
        </w:rPr>
      </w:pPr>
      <w:r w:rsidRPr="003034B0">
        <w:rPr>
          <w:rFonts w:ascii="Times New Roman" w:hAnsi="Times New Roman" w:cs="Times New Roman"/>
          <w:sz w:val="23"/>
          <w:szCs w:val="23"/>
        </w:rPr>
        <w:lastRenderedPageBreak/>
        <w:t>Para que o processo legislativo possa ter a qualidade exigida pelos cidadãos, necessário que seja tecnicamente adequado. A Constituição Federal previu em seu artigo 59, parágrafo único, que</w:t>
      </w:r>
      <w:proofErr w:type="gramStart"/>
      <w:r w:rsidRPr="003034B0">
        <w:rPr>
          <w:rFonts w:ascii="Times New Roman" w:hAnsi="Times New Roman" w:cs="Times New Roman"/>
          <w:sz w:val="23"/>
          <w:szCs w:val="23"/>
        </w:rPr>
        <w:t xml:space="preserve">  </w:t>
      </w:r>
      <w:proofErr w:type="gramEnd"/>
      <w:r w:rsidRPr="003034B0">
        <w:rPr>
          <w:rFonts w:ascii="Times New Roman" w:hAnsi="Times New Roman" w:cs="Times New Roman"/>
          <w:sz w:val="23"/>
          <w:szCs w:val="23"/>
        </w:rPr>
        <w:t xml:space="preserve">disporá sobre a elaboração, redação, alteração e consolidação das leis, normatizado através da Lei Complementar nº 95/1998.  </w:t>
      </w:r>
    </w:p>
    <w:p w:rsidR="00B62C8D" w:rsidRPr="003034B0" w:rsidRDefault="00B62C8D" w:rsidP="00B62C8D">
      <w:pPr>
        <w:pStyle w:val="SemEspaamento"/>
        <w:spacing w:line="276" w:lineRule="auto"/>
        <w:ind w:firstLine="2268"/>
        <w:jc w:val="both"/>
        <w:rPr>
          <w:rFonts w:ascii="Times New Roman" w:hAnsi="Times New Roman" w:cs="Times New Roman"/>
          <w:sz w:val="23"/>
          <w:szCs w:val="23"/>
        </w:rPr>
      </w:pPr>
    </w:p>
    <w:p w:rsidR="00B62C8D" w:rsidRPr="003034B0" w:rsidRDefault="00B62C8D" w:rsidP="00B62C8D">
      <w:pPr>
        <w:pStyle w:val="SemEspaamento"/>
        <w:spacing w:line="276" w:lineRule="auto"/>
        <w:ind w:firstLine="2268"/>
        <w:jc w:val="both"/>
        <w:rPr>
          <w:rFonts w:ascii="Times New Roman" w:hAnsi="Times New Roman" w:cs="Times New Roman"/>
          <w:sz w:val="23"/>
          <w:szCs w:val="23"/>
        </w:rPr>
      </w:pPr>
      <w:r w:rsidRPr="003034B0">
        <w:rPr>
          <w:rFonts w:ascii="Times New Roman" w:hAnsi="Times New Roman" w:cs="Times New Roman"/>
          <w:sz w:val="23"/>
          <w:szCs w:val="23"/>
        </w:rPr>
        <w:t>No caso pontual, observamos que o PL ora em análise possui a epígrafe, a ementa, o objeto da lei e o respectivo âmbito de aplicação, e está distribuído em artigos, parágrafos e incisos. O prazo para vigência da lei previsto é para entrar em vigor na data de sua publicação, cabível para matérias de pequena repercussão, como é o caso.</w:t>
      </w:r>
      <w:r w:rsidRPr="003034B0">
        <w:rPr>
          <w:rFonts w:ascii="Times New Roman" w:hAnsi="Times New Roman" w:cs="Times New Roman"/>
          <w:b/>
          <w:sz w:val="23"/>
          <w:szCs w:val="23"/>
        </w:rPr>
        <w:t xml:space="preserve">  </w:t>
      </w:r>
    </w:p>
    <w:p w:rsidR="008A5779" w:rsidRPr="003034B0" w:rsidRDefault="008A5779" w:rsidP="008A5779">
      <w:pPr>
        <w:pStyle w:val="SemEspaamento"/>
        <w:spacing w:line="276" w:lineRule="auto"/>
        <w:ind w:firstLine="2268"/>
        <w:jc w:val="both"/>
        <w:rPr>
          <w:rFonts w:ascii="Times New Roman" w:eastAsia="Calibri" w:hAnsi="Times New Roman" w:cs="Times New Roman"/>
          <w:sz w:val="23"/>
          <w:szCs w:val="23"/>
        </w:rPr>
      </w:pPr>
    </w:p>
    <w:p w:rsidR="00487662" w:rsidRPr="003034B0" w:rsidRDefault="00487662" w:rsidP="00C811EB">
      <w:pPr>
        <w:pStyle w:val="SemEspaamento"/>
        <w:spacing w:line="276" w:lineRule="auto"/>
        <w:jc w:val="center"/>
        <w:rPr>
          <w:rFonts w:ascii="Times New Roman" w:eastAsia="Calibri" w:hAnsi="Times New Roman" w:cs="Times New Roman"/>
          <w:sz w:val="23"/>
          <w:szCs w:val="23"/>
          <w:u w:val="single"/>
        </w:rPr>
      </w:pPr>
      <w:r w:rsidRPr="003034B0">
        <w:rPr>
          <w:rFonts w:ascii="Times New Roman" w:eastAsia="Calibri" w:hAnsi="Times New Roman" w:cs="Times New Roman"/>
          <w:sz w:val="23"/>
          <w:szCs w:val="23"/>
          <w:u w:val="single"/>
        </w:rPr>
        <w:t>Conclusão do Voto:</w:t>
      </w:r>
    </w:p>
    <w:p w:rsidR="00C811EB" w:rsidRPr="003034B0" w:rsidRDefault="00C811EB" w:rsidP="00C811EB">
      <w:pPr>
        <w:pStyle w:val="SemEspaamento"/>
        <w:spacing w:line="276" w:lineRule="auto"/>
        <w:jc w:val="center"/>
        <w:rPr>
          <w:rFonts w:ascii="Times New Roman" w:eastAsia="Calibri" w:hAnsi="Times New Roman" w:cs="Times New Roman"/>
          <w:sz w:val="23"/>
          <w:szCs w:val="23"/>
          <w:u w:val="single"/>
        </w:rPr>
      </w:pPr>
    </w:p>
    <w:p w:rsidR="0036296C" w:rsidRPr="003034B0" w:rsidRDefault="00487662" w:rsidP="00C811EB">
      <w:pPr>
        <w:pStyle w:val="SemEspaamento"/>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ab/>
        <w:t xml:space="preserve">Diante dos fundamentos legais e constitucionais expostos, com fundamento </w:t>
      </w:r>
      <w:r w:rsidR="0036296C" w:rsidRPr="003034B0">
        <w:rPr>
          <w:rFonts w:ascii="Times New Roman" w:eastAsia="Calibri" w:hAnsi="Times New Roman" w:cs="Times New Roman"/>
          <w:sz w:val="23"/>
          <w:szCs w:val="23"/>
        </w:rPr>
        <w:t>na Orientação Jurídica</w:t>
      </w:r>
      <w:r w:rsidRPr="003034B0">
        <w:rPr>
          <w:rFonts w:ascii="Times New Roman" w:eastAsia="Calibri" w:hAnsi="Times New Roman" w:cs="Times New Roman"/>
          <w:sz w:val="23"/>
          <w:szCs w:val="23"/>
        </w:rPr>
        <w:t xml:space="preserve"> da Procuradora Geral desta Casa, esta Relatoria, depois de debate realizado na Comissão, disponibiliza o presente voto concluindo </w:t>
      </w:r>
      <w:r w:rsidR="006272BC" w:rsidRPr="003034B0">
        <w:rPr>
          <w:rFonts w:ascii="Times New Roman" w:eastAsia="Calibri" w:hAnsi="Times New Roman" w:cs="Times New Roman"/>
          <w:sz w:val="23"/>
          <w:szCs w:val="23"/>
        </w:rPr>
        <w:t xml:space="preserve">que o PL </w:t>
      </w:r>
      <w:r w:rsidR="0036296C" w:rsidRPr="003034B0">
        <w:rPr>
          <w:rFonts w:ascii="Times New Roman" w:eastAsia="Calibri" w:hAnsi="Times New Roman" w:cs="Times New Roman"/>
          <w:sz w:val="23"/>
          <w:szCs w:val="23"/>
        </w:rPr>
        <w:t>0</w:t>
      </w:r>
      <w:r w:rsidR="003D2A3B" w:rsidRPr="003034B0">
        <w:rPr>
          <w:rFonts w:ascii="Times New Roman" w:eastAsia="Calibri" w:hAnsi="Times New Roman" w:cs="Times New Roman"/>
          <w:sz w:val="23"/>
          <w:szCs w:val="23"/>
        </w:rPr>
        <w:t>6</w:t>
      </w:r>
      <w:r w:rsidR="006272BC" w:rsidRPr="003034B0">
        <w:rPr>
          <w:rFonts w:ascii="Times New Roman" w:eastAsia="Calibri" w:hAnsi="Times New Roman" w:cs="Times New Roman"/>
          <w:sz w:val="23"/>
          <w:szCs w:val="23"/>
        </w:rPr>
        <w:t>/201</w:t>
      </w:r>
      <w:r w:rsidR="0036296C" w:rsidRPr="003034B0">
        <w:rPr>
          <w:rFonts w:ascii="Times New Roman" w:eastAsia="Calibri" w:hAnsi="Times New Roman" w:cs="Times New Roman"/>
          <w:sz w:val="23"/>
          <w:szCs w:val="23"/>
        </w:rPr>
        <w:t>8</w:t>
      </w:r>
      <w:r w:rsidR="006272BC" w:rsidRPr="003034B0">
        <w:rPr>
          <w:rFonts w:ascii="Times New Roman" w:eastAsia="Calibri" w:hAnsi="Times New Roman" w:cs="Times New Roman"/>
          <w:sz w:val="23"/>
          <w:szCs w:val="23"/>
        </w:rPr>
        <w:t xml:space="preserve"> atende </w:t>
      </w:r>
      <w:r w:rsidR="00762785" w:rsidRPr="003034B0">
        <w:rPr>
          <w:rFonts w:ascii="Times New Roman" w:eastAsia="Calibri" w:hAnsi="Times New Roman" w:cs="Times New Roman"/>
          <w:sz w:val="23"/>
          <w:szCs w:val="23"/>
        </w:rPr>
        <w:t xml:space="preserve">a constitucionalidade, legalidade e a </w:t>
      </w:r>
      <w:proofErr w:type="spellStart"/>
      <w:r w:rsidR="00762785" w:rsidRPr="003034B0">
        <w:rPr>
          <w:rFonts w:ascii="Times New Roman" w:eastAsia="Calibri" w:hAnsi="Times New Roman" w:cs="Times New Roman"/>
          <w:sz w:val="23"/>
          <w:szCs w:val="23"/>
        </w:rPr>
        <w:t>regimentalidade</w:t>
      </w:r>
      <w:proofErr w:type="spellEnd"/>
      <w:r w:rsidR="006272BC" w:rsidRPr="003034B0">
        <w:rPr>
          <w:rFonts w:ascii="Times New Roman" w:eastAsia="Calibri" w:hAnsi="Times New Roman" w:cs="Times New Roman"/>
          <w:sz w:val="23"/>
          <w:szCs w:val="23"/>
        </w:rPr>
        <w:t xml:space="preserve">, </w:t>
      </w:r>
      <w:r w:rsidR="00E46210" w:rsidRPr="003034B0">
        <w:rPr>
          <w:rFonts w:ascii="Times New Roman" w:eastAsia="Calibri" w:hAnsi="Times New Roman" w:cs="Times New Roman"/>
          <w:sz w:val="23"/>
          <w:szCs w:val="23"/>
        </w:rPr>
        <w:t>sendo viável a sua tramitação</w:t>
      </w:r>
      <w:r w:rsidR="00762785" w:rsidRPr="003034B0">
        <w:rPr>
          <w:rFonts w:ascii="Times New Roman" w:eastAsia="Calibri" w:hAnsi="Times New Roman" w:cs="Times New Roman"/>
          <w:sz w:val="23"/>
          <w:szCs w:val="23"/>
        </w:rPr>
        <w:t>.</w:t>
      </w:r>
    </w:p>
    <w:p w:rsidR="00487662" w:rsidRPr="003034B0" w:rsidRDefault="006272BC" w:rsidP="00C811EB">
      <w:pPr>
        <w:pStyle w:val="SemEspaamento"/>
        <w:spacing w:line="276" w:lineRule="auto"/>
        <w:jc w:val="both"/>
        <w:rPr>
          <w:rFonts w:ascii="Times New Roman" w:eastAsia="Calibri" w:hAnsi="Times New Roman" w:cs="Times New Roman"/>
          <w:sz w:val="23"/>
          <w:szCs w:val="23"/>
        </w:rPr>
      </w:pPr>
      <w:r w:rsidRPr="003034B0">
        <w:rPr>
          <w:rFonts w:ascii="Times New Roman" w:eastAsia="Calibri" w:hAnsi="Times New Roman" w:cs="Times New Roman"/>
          <w:sz w:val="23"/>
          <w:szCs w:val="23"/>
        </w:rPr>
        <w:tab/>
      </w:r>
      <w:r w:rsidR="00487662" w:rsidRPr="003034B0">
        <w:rPr>
          <w:rFonts w:ascii="Times New Roman" w:eastAsia="Calibri" w:hAnsi="Times New Roman" w:cs="Times New Roman"/>
          <w:sz w:val="23"/>
          <w:szCs w:val="23"/>
        </w:rPr>
        <w:t xml:space="preserve">Sala das Comissões, em </w:t>
      </w:r>
      <w:r w:rsidR="00762785" w:rsidRPr="003034B0">
        <w:rPr>
          <w:rFonts w:ascii="Times New Roman" w:eastAsia="Calibri" w:hAnsi="Times New Roman" w:cs="Times New Roman"/>
          <w:sz w:val="23"/>
          <w:szCs w:val="23"/>
        </w:rPr>
        <w:t>1</w:t>
      </w:r>
      <w:r w:rsidR="003D2A3B" w:rsidRPr="003034B0">
        <w:rPr>
          <w:rFonts w:ascii="Times New Roman" w:eastAsia="Calibri" w:hAnsi="Times New Roman" w:cs="Times New Roman"/>
          <w:sz w:val="23"/>
          <w:szCs w:val="23"/>
        </w:rPr>
        <w:t>5</w:t>
      </w:r>
      <w:r w:rsidR="00487662" w:rsidRPr="003034B0">
        <w:rPr>
          <w:rFonts w:ascii="Times New Roman" w:eastAsia="Calibri" w:hAnsi="Times New Roman" w:cs="Times New Roman"/>
          <w:sz w:val="23"/>
          <w:szCs w:val="23"/>
        </w:rPr>
        <w:t xml:space="preserve"> de </w:t>
      </w:r>
      <w:r w:rsidR="003D2A3B" w:rsidRPr="003034B0">
        <w:rPr>
          <w:rFonts w:ascii="Times New Roman" w:eastAsia="Calibri" w:hAnsi="Times New Roman" w:cs="Times New Roman"/>
          <w:sz w:val="23"/>
          <w:szCs w:val="23"/>
        </w:rPr>
        <w:t>fevereiro</w:t>
      </w:r>
      <w:r w:rsidR="00487662" w:rsidRPr="003034B0">
        <w:rPr>
          <w:rFonts w:ascii="Times New Roman" w:eastAsia="Calibri" w:hAnsi="Times New Roman" w:cs="Times New Roman"/>
          <w:sz w:val="23"/>
          <w:szCs w:val="23"/>
        </w:rPr>
        <w:t xml:space="preserve"> de 201</w:t>
      </w:r>
      <w:r w:rsidR="00762785" w:rsidRPr="003034B0">
        <w:rPr>
          <w:rFonts w:ascii="Times New Roman" w:eastAsia="Calibri" w:hAnsi="Times New Roman" w:cs="Times New Roman"/>
          <w:sz w:val="23"/>
          <w:szCs w:val="23"/>
        </w:rPr>
        <w:t>8</w:t>
      </w:r>
      <w:r w:rsidR="00487662" w:rsidRPr="003034B0">
        <w:rPr>
          <w:rFonts w:ascii="Times New Roman" w:eastAsia="Calibri" w:hAnsi="Times New Roman" w:cs="Times New Roman"/>
          <w:sz w:val="23"/>
          <w:szCs w:val="23"/>
        </w:rPr>
        <w:t>.</w:t>
      </w:r>
    </w:p>
    <w:p w:rsidR="00DB6013" w:rsidRPr="003034B0" w:rsidRDefault="00DB6013" w:rsidP="00C811EB">
      <w:pPr>
        <w:pStyle w:val="SemEspaamento"/>
        <w:spacing w:line="276" w:lineRule="auto"/>
        <w:jc w:val="both"/>
        <w:rPr>
          <w:rFonts w:ascii="Times New Roman" w:eastAsia="Calibri" w:hAnsi="Times New Roman" w:cs="Times New Roman"/>
          <w:sz w:val="23"/>
          <w:szCs w:val="23"/>
        </w:rPr>
      </w:pPr>
    </w:p>
    <w:p w:rsidR="00AD19E9" w:rsidRDefault="00AD19E9" w:rsidP="00C811EB">
      <w:pPr>
        <w:pStyle w:val="SemEspaamento"/>
        <w:spacing w:line="276" w:lineRule="auto"/>
        <w:jc w:val="both"/>
        <w:rPr>
          <w:rFonts w:ascii="Times New Roman" w:eastAsia="Calibri" w:hAnsi="Times New Roman" w:cs="Times New Roman"/>
          <w:sz w:val="23"/>
          <w:szCs w:val="23"/>
        </w:rPr>
      </w:pPr>
    </w:p>
    <w:p w:rsidR="003034B0" w:rsidRPr="003034B0" w:rsidRDefault="003034B0" w:rsidP="00C811EB">
      <w:pPr>
        <w:pStyle w:val="SemEspaamento"/>
        <w:spacing w:line="276" w:lineRule="auto"/>
        <w:jc w:val="both"/>
        <w:rPr>
          <w:rFonts w:ascii="Times New Roman" w:eastAsia="Calibri" w:hAnsi="Times New Roman" w:cs="Times New Roman"/>
          <w:sz w:val="23"/>
          <w:szCs w:val="23"/>
        </w:rPr>
      </w:pPr>
    </w:p>
    <w:p w:rsidR="00487662" w:rsidRDefault="00487662" w:rsidP="00C811EB">
      <w:pPr>
        <w:pStyle w:val="SemEspaamento"/>
        <w:spacing w:line="276" w:lineRule="auto"/>
        <w:jc w:val="center"/>
        <w:rPr>
          <w:rFonts w:ascii="Times New Roman" w:eastAsia="Calibri" w:hAnsi="Times New Roman" w:cs="Times New Roman"/>
          <w:sz w:val="23"/>
          <w:szCs w:val="23"/>
        </w:rPr>
      </w:pPr>
      <w:r w:rsidRPr="003034B0">
        <w:rPr>
          <w:rFonts w:ascii="Times New Roman" w:eastAsia="Calibri" w:hAnsi="Times New Roman" w:cs="Times New Roman"/>
          <w:sz w:val="23"/>
          <w:szCs w:val="23"/>
        </w:rPr>
        <w:t>Vereador Relator</w:t>
      </w:r>
    </w:p>
    <w:p w:rsidR="003034B0" w:rsidRPr="003034B0" w:rsidRDefault="003034B0" w:rsidP="00C811EB">
      <w:pPr>
        <w:pStyle w:val="SemEspaamento"/>
        <w:spacing w:line="276" w:lineRule="auto"/>
        <w:jc w:val="center"/>
        <w:rPr>
          <w:rFonts w:ascii="Times New Roman" w:eastAsia="Calibri" w:hAnsi="Times New Roman" w:cs="Times New Roman"/>
          <w:sz w:val="23"/>
          <w:szCs w:val="23"/>
        </w:rPr>
      </w:pPr>
      <w:r w:rsidRPr="003034B0">
        <w:rPr>
          <w:rFonts w:ascii="Times New Roman" w:eastAsia="Calibri" w:hAnsi="Times New Roman" w:cs="Times New Roman"/>
          <w:sz w:val="23"/>
          <w:szCs w:val="23"/>
        </w:rPr>
        <w:t>Vice-Presidente</w:t>
      </w:r>
    </w:p>
    <w:p w:rsidR="003D2A3B" w:rsidRPr="003034B0" w:rsidRDefault="003D2A3B" w:rsidP="00C811EB">
      <w:pPr>
        <w:pStyle w:val="SemEspaamento"/>
        <w:spacing w:line="276" w:lineRule="auto"/>
        <w:jc w:val="center"/>
        <w:rPr>
          <w:rFonts w:ascii="Times New Roman" w:eastAsia="Calibri" w:hAnsi="Times New Roman" w:cs="Times New Roman"/>
          <w:sz w:val="23"/>
          <w:szCs w:val="23"/>
        </w:rPr>
      </w:pPr>
    </w:p>
    <w:p w:rsidR="00487662" w:rsidRPr="003034B0" w:rsidRDefault="00487662" w:rsidP="00C811EB">
      <w:pPr>
        <w:pStyle w:val="SemEspaamento"/>
        <w:spacing w:line="276" w:lineRule="auto"/>
        <w:jc w:val="center"/>
        <w:rPr>
          <w:rFonts w:ascii="Times New Roman" w:eastAsia="Calibri" w:hAnsi="Times New Roman" w:cs="Times New Roman"/>
          <w:sz w:val="23"/>
          <w:szCs w:val="23"/>
        </w:rPr>
      </w:pPr>
      <w:r w:rsidRPr="003034B0">
        <w:rPr>
          <w:rFonts w:ascii="Times New Roman" w:eastAsia="Calibri" w:hAnsi="Times New Roman" w:cs="Times New Roman"/>
          <w:sz w:val="23"/>
          <w:szCs w:val="23"/>
        </w:rPr>
        <w:t>Acompanhando o voto d</w:t>
      </w:r>
      <w:r w:rsidR="00762785" w:rsidRPr="003034B0">
        <w:rPr>
          <w:rFonts w:ascii="Times New Roman" w:eastAsia="Calibri" w:hAnsi="Times New Roman" w:cs="Times New Roman"/>
          <w:sz w:val="23"/>
          <w:szCs w:val="23"/>
        </w:rPr>
        <w:t>o</w:t>
      </w:r>
      <w:r w:rsidRPr="003034B0">
        <w:rPr>
          <w:rFonts w:ascii="Times New Roman" w:eastAsia="Calibri" w:hAnsi="Times New Roman" w:cs="Times New Roman"/>
          <w:sz w:val="23"/>
          <w:szCs w:val="23"/>
        </w:rPr>
        <w:t xml:space="preserve"> relator:</w:t>
      </w:r>
    </w:p>
    <w:p w:rsidR="00AD19E9" w:rsidRDefault="00AD19E9" w:rsidP="00C811EB">
      <w:pPr>
        <w:pStyle w:val="SemEspaamento"/>
        <w:spacing w:line="276" w:lineRule="auto"/>
        <w:jc w:val="center"/>
        <w:rPr>
          <w:rFonts w:ascii="Times New Roman" w:eastAsia="Calibri" w:hAnsi="Times New Roman" w:cs="Times New Roman"/>
          <w:sz w:val="23"/>
          <w:szCs w:val="23"/>
        </w:rPr>
      </w:pPr>
    </w:p>
    <w:p w:rsidR="003034B0" w:rsidRPr="003034B0" w:rsidRDefault="003034B0" w:rsidP="00C811EB">
      <w:pPr>
        <w:pStyle w:val="SemEspaamento"/>
        <w:spacing w:line="276" w:lineRule="auto"/>
        <w:jc w:val="center"/>
        <w:rPr>
          <w:rFonts w:ascii="Times New Roman" w:eastAsia="Calibri" w:hAnsi="Times New Roman" w:cs="Times New Roman"/>
          <w:sz w:val="23"/>
          <w:szCs w:val="23"/>
        </w:rPr>
      </w:pPr>
    </w:p>
    <w:p w:rsidR="00487662" w:rsidRPr="003034B0" w:rsidRDefault="00487662" w:rsidP="00C811EB">
      <w:pPr>
        <w:pStyle w:val="SemEspaamento"/>
        <w:spacing w:line="276" w:lineRule="auto"/>
        <w:jc w:val="center"/>
        <w:rPr>
          <w:rFonts w:ascii="Times New Roman" w:eastAsia="Calibri" w:hAnsi="Times New Roman" w:cs="Times New Roman"/>
          <w:sz w:val="23"/>
          <w:szCs w:val="23"/>
        </w:rPr>
      </w:pPr>
      <w:r w:rsidRPr="003034B0">
        <w:rPr>
          <w:rFonts w:ascii="Times New Roman" w:eastAsia="Calibri" w:hAnsi="Times New Roman" w:cs="Times New Roman"/>
          <w:sz w:val="23"/>
          <w:szCs w:val="23"/>
        </w:rPr>
        <w:t>Vereador Presidente</w:t>
      </w:r>
    </w:p>
    <w:p w:rsidR="00487662" w:rsidRPr="003034B0" w:rsidRDefault="00487662" w:rsidP="00C811EB">
      <w:pPr>
        <w:pStyle w:val="SemEspaamento"/>
        <w:spacing w:line="276" w:lineRule="auto"/>
        <w:jc w:val="center"/>
        <w:rPr>
          <w:rFonts w:ascii="Times New Roman" w:eastAsia="Calibri" w:hAnsi="Times New Roman" w:cs="Times New Roman"/>
          <w:sz w:val="23"/>
          <w:szCs w:val="23"/>
        </w:rPr>
      </w:pPr>
    </w:p>
    <w:p w:rsidR="00AD19E9" w:rsidRPr="003034B0" w:rsidRDefault="00AD19E9" w:rsidP="00C811EB">
      <w:pPr>
        <w:pStyle w:val="SemEspaamento"/>
        <w:spacing w:line="276" w:lineRule="auto"/>
        <w:jc w:val="center"/>
        <w:rPr>
          <w:rFonts w:ascii="Times New Roman" w:eastAsia="Calibri" w:hAnsi="Times New Roman" w:cs="Times New Roman"/>
          <w:sz w:val="23"/>
          <w:szCs w:val="23"/>
        </w:rPr>
      </w:pPr>
    </w:p>
    <w:p w:rsidR="00487662" w:rsidRPr="003034B0" w:rsidRDefault="00487662" w:rsidP="00C811EB">
      <w:pPr>
        <w:pStyle w:val="SemEspaamento"/>
        <w:spacing w:line="276" w:lineRule="auto"/>
        <w:jc w:val="center"/>
        <w:rPr>
          <w:rFonts w:ascii="Times New Roman" w:eastAsia="Calibri" w:hAnsi="Times New Roman" w:cs="Times New Roman"/>
          <w:sz w:val="23"/>
          <w:szCs w:val="23"/>
        </w:rPr>
      </w:pPr>
      <w:r w:rsidRPr="003034B0">
        <w:rPr>
          <w:rFonts w:ascii="Times New Roman" w:eastAsia="Calibri" w:hAnsi="Times New Roman" w:cs="Times New Roman"/>
          <w:sz w:val="23"/>
          <w:szCs w:val="23"/>
        </w:rPr>
        <w:t xml:space="preserve">Vereador </w:t>
      </w:r>
      <w:r w:rsidR="003034B0">
        <w:rPr>
          <w:rFonts w:ascii="Times New Roman" w:eastAsia="Calibri" w:hAnsi="Times New Roman" w:cs="Times New Roman"/>
          <w:sz w:val="23"/>
          <w:szCs w:val="23"/>
        </w:rPr>
        <w:t>Membro</w:t>
      </w:r>
    </w:p>
    <w:sectPr w:rsidR="00487662" w:rsidRPr="003034B0"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9A" w:rsidRDefault="006F1C9A" w:rsidP="00B17B53">
      <w:pPr>
        <w:spacing w:after="0" w:line="240" w:lineRule="auto"/>
      </w:pPr>
      <w:r>
        <w:separator/>
      </w:r>
    </w:p>
  </w:endnote>
  <w:endnote w:type="continuationSeparator" w:id="0">
    <w:p w:rsidR="006F1C9A" w:rsidRDefault="006F1C9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9A" w:rsidRDefault="006F1C9A" w:rsidP="00B17B53">
      <w:pPr>
        <w:spacing w:after="0" w:line="240" w:lineRule="auto"/>
      </w:pPr>
      <w:r>
        <w:separator/>
      </w:r>
    </w:p>
  </w:footnote>
  <w:footnote w:type="continuationSeparator" w:id="0">
    <w:p w:rsidR="006F1C9A" w:rsidRDefault="006F1C9A"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AF5080"/>
    <w:multiLevelType w:val="hybridMultilevel"/>
    <w:tmpl w:val="EDF0A798"/>
    <w:lvl w:ilvl="0" w:tplc="17CC6CC8">
      <w:start w:val="1"/>
      <w:numFmt w:val="lowerLetter"/>
      <w:lvlText w:val="%1)"/>
      <w:lvlJc w:val="left"/>
      <w:pPr>
        <w:ind w:left="2464"/>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1" w:tplc="A2CE5110">
      <w:start w:val="1"/>
      <w:numFmt w:val="lowerLetter"/>
      <w:lvlText w:val="%2"/>
      <w:lvlJc w:val="left"/>
      <w:pPr>
        <w:ind w:left="334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2" w:tplc="4B463EC6">
      <w:start w:val="1"/>
      <w:numFmt w:val="lowerRoman"/>
      <w:lvlText w:val="%3"/>
      <w:lvlJc w:val="left"/>
      <w:pPr>
        <w:ind w:left="406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3" w:tplc="A4E6AB8A">
      <w:start w:val="1"/>
      <w:numFmt w:val="decimal"/>
      <w:lvlText w:val="%4"/>
      <w:lvlJc w:val="left"/>
      <w:pPr>
        <w:ind w:left="478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4" w:tplc="633C70FE">
      <w:start w:val="1"/>
      <w:numFmt w:val="lowerLetter"/>
      <w:lvlText w:val="%5"/>
      <w:lvlJc w:val="left"/>
      <w:pPr>
        <w:ind w:left="550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5" w:tplc="438497FC">
      <w:start w:val="1"/>
      <w:numFmt w:val="lowerRoman"/>
      <w:lvlText w:val="%6"/>
      <w:lvlJc w:val="left"/>
      <w:pPr>
        <w:ind w:left="622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6" w:tplc="3E7804D4">
      <w:start w:val="1"/>
      <w:numFmt w:val="decimal"/>
      <w:lvlText w:val="%7"/>
      <w:lvlJc w:val="left"/>
      <w:pPr>
        <w:ind w:left="694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7" w:tplc="AA44A7CC">
      <w:start w:val="1"/>
      <w:numFmt w:val="lowerLetter"/>
      <w:lvlText w:val="%8"/>
      <w:lvlJc w:val="left"/>
      <w:pPr>
        <w:ind w:left="766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8" w:tplc="E5F0A6A0">
      <w:start w:val="1"/>
      <w:numFmt w:val="lowerRoman"/>
      <w:lvlText w:val="%9"/>
      <w:lvlJc w:val="left"/>
      <w:pPr>
        <w:ind w:left="838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abstractNum>
  <w:abstractNum w:abstractNumId="15">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3A375FB"/>
    <w:multiLevelType w:val="hybridMultilevel"/>
    <w:tmpl w:val="DCF09FC8"/>
    <w:lvl w:ilvl="0" w:tplc="294240B0">
      <w:start w:val="2"/>
      <w:numFmt w:val="upperRoman"/>
      <w:lvlText w:val="%1"/>
      <w:lvlJc w:val="left"/>
      <w:pPr>
        <w:ind w:left="2264"/>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1" w:tplc="09263AAC">
      <w:start w:val="1"/>
      <w:numFmt w:val="lowerLetter"/>
      <w:lvlText w:val="%2"/>
      <w:lvlJc w:val="left"/>
      <w:pPr>
        <w:ind w:left="334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2" w:tplc="3BFCA32A">
      <w:start w:val="1"/>
      <w:numFmt w:val="lowerRoman"/>
      <w:lvlText w:val="%3"/>
      <w:lvlJc w:val="left"/>
      <w:pPr>
        <w:ind w:left="406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3" w:tplc="07F8FDC2">
      <w:start w:val="1"/>
      <w:numFmt w:val="decimal"/>
      <w:lvlText w:val="%4"/>
      <w:lvlJc w:val="left"/>
      <w:pPr>
        <w:ind w:left="478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4" w:tplc="A8B6C4E2">
      <w:start w:val="1"/>
      <w:numFmt w:val="lowerLetter"/>
      <w:lvlText w:val="%5"/>
      <w:lvlJc w:val="left"/>
      <w:pPr>
        <w:ind w:left="550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5" w:tplc="B7E20522">
      <w:start w:val="1"/>
      <w:numFmt w:val="lowerRoman"/>
      <w:lvlText w:val="%6"/>
      <w:lvlJc w:val="left"/>
      <w:pPr>
        <w:ind w:left="622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6" w:tplc="6AC6C564">
      <w:start w:val="1"/>
      <w:numFmt w:val="decimal"/>
      <w:lvlText w:val="%7"/>
      <w:lvlJc w:val="left"/>
      <w:pPr>
        <w:ind w:left="694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7" w:tplc="0E5E9522">
      <w:start w:val="1"/>
      <w:numFmt w:val="lowerLetter"/>
      <w:lvlText w:val="%8"/>
      <w:lvlJc w:val="left"/>
      <w:pPr>
        <w:ind w:left="766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lvl w:ilvl="8" w:tplc="B9F21AC4">
      <w:start w:val="1"/>
      <w:numFmt w:val="lowerRoman"/>
      <w:lvlText w:val="%9"/>
      <w:lvlJc w:val="left"/>
      <w:pPr>
        <w:ind w:left="8389"/>
      </w:pPr>
      <w:rPr>
        <w:rFonts w:ascii="Arial" w:eastAsia="Arial" w:hAnsi="Arial" w:cs="Arial"/>
        <w:b w:val="0"/>
        <w:i/>
        <w:iCs/>
        <w:strike w:val="0"/>
        <w:dstrike w:val="0"/>
        <w:color w:val="222222"/>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20"/>
  </w:num>
  <w:num w:numId="4">
    <w:abstractNumId w:val="7"/>
  </w:num>
  <w:num w:numId="5">
    <w:abstractNumId w:val="8"/>
  </w:num>
  <w:num w:numId="6">
    <w:abstractNumId w:val="2"/>
  </w:num>
  <w:num w:numId="7">
    <w:abstractNumId w:val="6"/>
  </w:num>
  <w:num w:numId="8">
    <w:abstractNumId w:val="18"/>
  </w:num>
  <w:num w:numId="9">
    <w:abstractNumId w:val="5"/>
  </w:num>
  <w:num w:numId="10">
    <w:abstractNumId w:val="15"/>
  </w:num>
  <w:num w:numId="11">
    <w:abstractNumId w:val="21"/>
  </w:num>
  <w:num w:numId="12">
    <w:abstractNumId w:val="10"/>
  </w:num>
  <w:num w:numId="13">
    <w:abstractNumId w:val="13"/>
  </w:num>
  <w:num w:numId="14">
    <w:abstractNumId w:val="22"/>
  </w:num>
  <w:num w:numId="15">
    <w:abstractNumId w:val="3"/>
  </w:num>
  <w:num w:numId="16">
    <w:abstractNumId w:val="12"/>
  </w:num>
  <w:num w:numId="17">
    <w:abstractNumId w:val="16"/>
  </w:num>
  <w:num w:numId="18">
    <w:abstractNumId w:val="17"/>
  </w:num>
  <w:num w:numId="19">
    <w:abstractNumId w:val="19"/>
  </w:num>
  <w:num w:numId="20">
    <w:abstractNumId w:val="1"/>
  </w:num>
  <w:num w:numId="21">
    <w:abstractNumId w:val="9"/>
  </w:num>
  <w:num w:numId="22">
    <w:abstractNumId w:val="11"/>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9689E"/>
    <w:rsid w:val="001A3C3B"/>
    <w:rsid w:val="001C17AB"/>
    <w:rsid w:val="001C2A51"/>
    <w:rsid w:val="001C34C8"/>
    <w:rsid w:val="001C7223"/>
    <w:rsid w:val="001D1B0F"/>
    <w:rsid w:val="001D5916"/>
    <w:rsid w:val="001D7159"/>
    <w:rsid w:val="001E6671"/>
    <w:rsid w:val="0021429D"/>
    <w:rsid w:val="002201ED"/>
    <w:rsid w:val="00235B63"/>
    <w:rsid w:val="00240183"/>
    <w:rsid w:val="00265AA6"/>
    <w:rsid w:val="002670BB"/>
    <w:rsid w:val="00271DF1"/>
    <w:rsid w:val="002A1785"/>
    <w:rsid w:val="002C01A4"/>
    <w:rsid w:val="002C4E64"/>
    <w:rsid w:val="002E5DCE"/>
    <w:rsid w:val="003034B0"/>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A3B"/>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8029F"/>
    <w:rsid w:val="00480303"/>
    <w:rsid w:val="00482222"/>
    <w:rsid w:val="00487662"/>
    <w:rsid w:val="00490DFF"/>
    <w:rsid w:val="00491450"/>
    <w:rsid w:val="0049608C"/>
    <w:rsid w:val="004B2EC3"/>
    <w:rsid w:val="004E0DD3"/>
    <w:rsid w:val="004F0611"/>
    <w:rsid w:val="004F60CE"/>
    <w:rsid w:val="005004AC"/>
    <w:rsid w:val="0050134F"/>
    <w:rsid w:val="005065DA"/>
    <w:rsid w:val="00516FBB"/>
    <w:rsid w:val="00524086"/>
    <w:rsid w:val="005268BE"/>
    <w:rsid w:val="005353EA"/>
    <w:rsid w:val="0053678C"/>
    <w:rsid w:val="005571F7"/>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0BB0"/>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A5779"/>
    <w:rsid w:val="008B0C42"/>
    <w:rsid w:val="008B4469"/>
    <w:rsid w:val="008C01C7"/>
    <w:rsid w:val="008C22A6"/>
    <w:rsid w:val="008D2E64"/>
    <w:rsid w:val="008D4652"/>
    <w:rsid w:val="008D671D"/>
    <w:rsid w:val="008E31B9"/>
    <w:rsid w:val="008F32DC"/>
    <w:rsid w:val="008F7957"/>
    <w:rsid w:val="00900575"/>
    <w:rsid w:val="00905942"/>
    <w:rsid w:val="00916A40"/>
    <w:rsid w:val="00920430"/>
    <w:rsid w:val="00932E95"/>
    <w:rsid w:val="00933774"/>
    <w:rsid w:val="00933E5A"/>
    <w:rsid w:val="009373E8"/>
    <w:rsid w:val="00943925"/>
    <w:rsid w:val="00945444"/>
    <w:rsid w:val="00950C3C"/>
    <w:rsid w:val="00962126"/>
    <w:rsid w:val="00972F24"/>
    <w:rsid w:val="009761D9"/>
    <w:rsid w:val="00982867"/>
    <w:rsid w:val="0098342C"/>
    <w:rsid w:val="009862A2"/>
    <w:rsid w:val="00986440"/>
    <w:rsid w:val="00990756"/>
    <w:rsid w:val="00993386"/>
    <w:rsid w:val="00997BEE"/>
    <w:rsid w:val="009A1B74"/>
    <w:rsid w:val="009A5304"/>
    <w:rsid w:val="009B2A65"/>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2025"/>
    <w:rsid w:val="00A84864"/>
    <w:rsid w:val="00A95A5F"/>
    <w:rsid w:val="00AA0455"/>
    <w:rsid w:val="00AB1EB9"/>
    <w:rsid w:val="00AC1EE0"/>
    <w:rsid w:val="00AC2722"/>
    <w:rsid w:val="00AC6AB3"/>
    <w:rsid w:val="00AD19E9"/>
    <w:rsid w:val="00AD1C96"/>
    <w:rsid w:val="00AE58BC"/>
    <w:rsid w:val="00AF5697"/>
    <w:rsid w:val="00AF7B41"/>
    <w:rsid w:val="00B05DA2"/>
    <w:rsid w:val="00B17B53"/>
    <w:rsid w:val="00B2214E"/>
    <w:rsid w:val="00B23AE5"/>
    <w:rsid w:val="00B273CD"/>
    <w:rsid w:val="00B326D3"/>
    <w:rsid w:val="00B45455"/>
    <w:rsid w:val="00B46249"/>
    <w:rsid w:val="00B54735"/>
    <w:rsid w:val="00B564B1"/>
    <w:rsid w:val="00B62C8D"/>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527E3"/>
    <w:rsid w:val="00C61310"/>
    <w:rsid w:val="00C63CD1"/>
    <w:rsid w:val="00C64428"/>
    <w:rsid w:val="00C701B0"/>
    <w:rsid w:val="00C70447"/>
    <w:rsid w:val="00C709DF"/>
    <w:rsid w:val="00C74362"/>
    <w:rsid w:val="00C811EB"/>
    <w:rsid w:val="00C949FB"/>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6635"/>
    <w:rsid w:val="00E37388"/>
    <w:rsid w:val="00E46210"/>
    <w:rsid w:val="00E53DAA"/>
    <w:rsid w:val="00E55917"/>
    <w:rsid w:val="00E623AB"/>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5B8"/>
    <w:rsid w:val="00F527C6"/>
    <w:rsid w:val="00F56A49"/>
    <w:rsid w:val="00F60212"/>
    <w:rsid w:val="00F751A1"/>
    <w:rsid w:val="00F819AD"/>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BCE5-7807-4798-9AC3-72C38637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1896</Words>
  <Characters>10242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6</cp:revision>
  <cp:lastPrinted>2018-01-11T18:29:00Z</cp:lastPrinted>
  <dcterms:created xsi:type="dcterms:W3CDTF">2018-01-22T17:15:00Z</dcterms:created>
  <dcterms:modified xsi:type="dcterms:W3CDTF">2018-02-23T12:20:00Z</dcterms:modified>
</cp:coreProperties>
</file>