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3C5778" w:rsidRDefault="00487662" w:rsidP="00E036E7">
      <w:pPr>
        <w:tabs>
          <w:tab w:val="left" w:pos="1418"/>
          <w:tab w:val="left" w:pos="5059"/>
        </w:tabs>
        <w:spacing w:line="276" w:lineRule="auto"/>
        <w:jc w:val="center"/>
        <w:rPr>
          <w:rFonts w:ascii="Times New Roman" w:eastAsia="Calibri" w:hAnsi="Times New Roman" w:cs="Times New Roman"/>
          <w:b/>
          <w:sz w:val="23"/>
          <w:szCs w:val="23"/>
        </w:rPr>
      </w:pPr>
      <w:r w:rsidRPr="003C5778">
        <w:rPr>
          <w:rFonts w:ascii="Times New Roman" w:eastAsia="Calibri" w:hAnsi="Times New Roman" w:cs="Times New Roman"/>
          <w:b/>
          <w:sz w:val="23"/>
          <w:szCs w:val="23"/>
        </w:rPr>
        <w:t xml:space="preserve">COMISSÃO DE </w:t>
      </w:r>
      <w:r w:rsidR="00B3151B" w:rsidRPr="003C5778">
        <w:rPr>
          <w:rFonts w:ascii="Times New Roman" w:eastAsia="Calibri" w:hAnsi="Times New Roman" w:cs="Times New Roman"/>
          <w:b/>
          <w:sz w:val="23"/>
          <w:szCs w:val="23"/>
        </w:rPr>
        <w:t>ORÇAMENTO</w:t>
      </w:r>
      <w:r w:rsidR="00B3511A" w:rsidRPr="003C5778">
        <w:rPr>
          <w:rFonts w:ascii="Times New Roman" w:eastAsia="Calibri" w:hAnsi="Times New Roman" w:cs="Times New Roman"/>
          <w:b/>
          <w:sz w:val="23"/>
          <w:szCs w:val="23"/>
        </w:rPr>
        <w:t>, FINANÇAS E CONTAS PÚBLICAS</w:t>
      </w:r>
    </w:p>
    <w:p w:rsidR="00487662" w:rsidRPr="003C5778" w:rsidRDefault="00487662" w:rsidP="00E036E7">
      <w:pPr>
        <w:tabs>
          <w:tab w:val="left" w:pos="1418"/>
          <w:tab w:val="left" w:pos="5059"/>
        </w:tabs>
        <w:spacing w:line="276" w:lineRule="auto"/>
        <w:jc w:val="center"/>
        <w:rPr>
          <w:rFonts w:ascii="Times New Roman" w:eastAsia="Calibri" w:hAnsi="Times New Roman" w:cs="Times New Roman"/>
          <w:b/>
          <w:sz w:val="23"/>
          <w:szCs w:val="23"/>
        </w:rPr>
      </w:pPr>
    </w:p>
    <w:p w:rsidR="00487662" w:rsidRPr="003C5778" w:rsidRDefault="00487662" w:rsidP="00E036E7">
      <w:pPr>
        <w:tabs>
          <w:tab w:val="left" w:pos="1418"/>
          <w:tab w:val="left" w:pos="5059"/>
        </w:tabs>
        <w:spacing w:line="276" w:lineRule="auto"/>
        <w:jc w:val="both"/>
        <w:rPr>
          <w:rFonts w:ascii="Times New Roman" w:eastAsia="Calibri" w:hAnsi="Times New Roman" w:cs="Times New Roman"/>
          <w:sz w:val="23"/>
          <w:szCs w:val="23"/>
        </w:rPr>
      </w:pPr>
      <w:r w:rsidRPr="003C5778">
        <w:rPr>
          <w:rFonts w:ascii="Times New Roman" w:eastAsia="Calibri" w:hAnsi="Times New Roman" w:cs="Times New Roman"/>
          <w:b/>
          <w:sz w:val="23"/>
          <w:szCs w:val="23"/>
        </w:rPr>
        <w:t>Parecer:</w:t>
      </w:r>
      <w:r w:rsidRPr="003C5778">
        <w:rPr>
          <w:rFonts w:ascii="Times New Roman" w:eastAsia="Calibri" w:hAnsi="Times New Roman" w:cs="Times New Roman"/>
          <w:sz w:val="23"/>
          <w:szCs w:val="23"/>
        </w:rPr>
        <w:t xml:space="preserve"> </w:t>
      </w:r>
      <w:r w:rsidR="007549D6" w:rsidRPr="003C5778">
        <w:rPr>
          <w:rFonts w:ascii="Times New Roman" w:eastAsia="Calibri" w:hAnsi="Times New Roman" w:cs="Times New Roman"/>
          <w:sz w:val="23"/>
          <w:szCs w:val="23"/>
        </w:rPr>
        <w:t>0</w:t>
      </w:r>
      <w:r w:rsidR="007273BE">
        <w:rPr>
          <w:rFonts w:ascii="Times New Roman" w:eastAsia="Calibri" w:hAnsi="Times New Roman" w:cs="Times New Roman"/>
          <w:sz w:val="23"/>
          <w:szCs w:val="23"/>
        </w:rPr>
        <w:t>3</w:t>
      </w:r>
      <w:r w:rsidRPr="003C5778">
        <w:rPr>
          <w:rFonts w:ascii="Times New Roman" w:eastAsia="Calibri" w:hAnsi="Times New Roman" w:cs="Times New Roman"/>
          <w:sz w:val="23"/>
          <w:szCs w:val="23"/>
        </w:rPr>
        <w:t>/201</w:t>
      </w:r>
      <w:r w:rsidR="007549D6" w:rsidRPr="003C5778">
        <w:rPr>
          <w:rFonts w:ascii="Times New Roman" w:eastAsia="Calibri" w:hAnsi="Times New Roman" w:cs="Times New Roman"/>
          <w:sz w:val="23"/>
          <w:szCs w:val="23"/>
        </w:rPr>
        <w:t>8</w:t>
      </w:r>
    </w:p>
    <w:p w:rsidR="00487662" w:rsidRPr="003C5778" w:rsidRDefault="00487662" w:rsidP="00E036E7">
      <w:pPr>
        <w:tabs>
          <w:tab w:val="left" w:pos="1418"/>
          <w:tab w:val="left" w:pos="4253"/>
        </w:tabs>
        <w:spacing w:line="276" w:lineRule="auto"/>
        <w:jc w:val="both"/>
        <w:rPr>
          <w:rFonts w:ascii="Times New Roman" w:eastAsia="Calibri" w:hAnsi="Times New Roman" w:cs="Times New Roman"/>
          <w:sz w:val="23"/>
          <w:szCs w:val="23"/>
        </w:rPr>
      </w:pPr>
      <w:r w:rsidRPr="003C5778">
        <w:rPr>
          <w:rFonts w:ascii="Times New Roman" w:eastAsia="Calibri" w:hAnsi="Times New Roman" w:cs="Times New Roman"/>
          <w:b/>
          <w:sz w:val="23"/>
          <w:szCs w:val="23"/>
        </w:rPr>
        <w:t>Data:</w:t>
      </w:r>
      <w:r w:rsidRPr="003C5778">
        <w:rPr>
          <w:rFonts w:ascii="Times New Roman" w:eastAsia="Calibri" w:hAnsi="Times New Roman" w:cs="Times New Roman"/>
          <w:sz w:val="23"/>
          <w:szCs w:val="23"/>
        </w:rPr>
        <w:t xml:space="preserve"> </w:t>
      </w:r>
      <w:r w:rsidR="007549D6" w:rsidRPr="003C5778">
        <w:rPr>
          <w:rFonts w:ascii="Times New Roman" w:eastAsia="Calibri" w:hAnsi="Times New Roman" w:cs="Times New Roman"/>
          <w:sz w:val="23"/>
          <w:szCs w:val="23"/>
        </w:rPr>
        <w:t>1</w:t>
      </w:r>
      <w:r w:rsidR="00E036E7" w:rsidRPr="003C5778">
        <w:rPr>
          <w:rFonts w:ascii="Times New Roman" w:eastAsia="Calibri" w:hAnsi="Times New Roman" w:cs="Times New Roman"/>
          <w:sz w:val="23"/>
          <w:szCs w:val="23"/>
        </w:rPr>
        <w:t>1</w:t>
      </w:r>
      <w:r w:rsidRPr="003C5778">
        <w:rPr>
          <w:rFonts w:ascii="Times New Roman" w:eastAsia="Calibri" w:hAnsi="Times New Roman" w:cs="Times New Roman"/>
          <w:sz w:val="23"/>
          <w:szCs w:val="23"/>
        </w:rPr>
        <w:t xml:space="preserve"> de </w:t>
      </w:r>
      <w:r w:rsidR="007549D6" w:rsidRPr="003C5778">
        <w:rPr>
          <w:rFonts w:ascii="Times New Roman" w:eastAsia="Calibri" w:hAnsi="Times New Roman" w:cs="Times New Roman"/>
          <w:sz w:val="23"/>
          <w:szCs w:val="23"/>
        </w:rPr>
        <w:t>janei</w:t>
      </w:r>
      <w:r w:rsidRPr="003C5778">
        <w:rPr>
          <w:rFonts w:ascii="Times New Roman" w:eastAsia="Calibri" w:hAnsi="Times New Roman" w:cs="Times New Roman"/>
          <w:sz w:val="23"/>
          <w:szCs w:val="23"/>
        </w:rPr>
        <w:t>ro de 201</w:t>
      </w:r>
      <w:r w:rsidR="007549D6" w:rsidRPr="003C5778">
        <w:rPr>
          <w:rFonts w:ascii="Times New Roman" w:eastAsia="Calibri" w:hAnsi="Times New Roman" w:cs="Times New Roman"/>
          <w:sz w:val="23"/>
          <w:szCs w:val="23"/>
        </w:rPr>
        <w:t>8</w:t>
      </w:r>
    </w:p>
    <w:p w:rsidR="00487662" w:rsidRPr="003C5778" w:rsidRDefault="00487662" w:rsidP="00E036E7">
      <w:pPr>
        <w:tabs>
          <w:tab w:val="left" w:pos="1418"/>
        </w:tabs>
        <w:spacing w:line="276" w:lineRule="auto"/>
        <w:jc w:val="both"/>
        <w:rPr>
          <w:rFonts w:ascii="Times New Roman" w:eastAsia="Calibri" w:hAnsi="Times New Roman" w:cs="Times New Roman"/>
          <w:sz w:val="23"/>
          <w:szCs w:val="23"/>
        </w:rPr>
      </w:pPr>
      <w:r w:rsidRPr="003C5778">
        <w:rPr>
          <w:rFonts w:ascii="Times New Roman" w:eastAsia="Calibri" w:hAnsi="Times New Roman" w:cs="Times New Roman"/>
          <w:b/>
          <w:sz w:val="23"/>
          <w:szCs w:val="23"/>
        </w:rPr>
        <w:t>Matéria:</w:t>
      </w:r>
      <w:r w:rsidRPr="003C5778">
        <w:rPr>
          <w:rFonts w:ascii="Times New Roman" w:eastAsia="Calibri" w:hAnsi="Times New Roman" w:cs="Times New Roman"/>
          <w:sz w:val="23"/>
          <w:szCs w:val="23"/>
        </w:rPr>
        <w:t xml:space="preserve"> Projeto de Lei </w:t>
      </w:r>
      <w:r w:rsidR="007549D6" w:rsidRPr="003C5778">
        <w:rPr>
          <w:rFonts w:ascii="Times New Roman" w:eastAsia="Calibri" w:hAnsi="Times New Roman" w:cs="Times New Roman"/>
          <w:sz w:val="23"/>
          <w:szCs w:val="23"/>
        </w:rPr>
        <w:t xml:space="preserve">Ordinária </w:t>
      </w:r>
      <w:r w:rsidRPr="003C5778">
        <w:rPr>
          <w:rFonts w:ascii="Times New Roman" w:eastAsia="Calibri" w:hAnsi="Times New Roman" w:cs="Times New Roman"/>
          <w:sz w:val="23"/>
          <w:szCs w:val="23"/>
        </w:rPr>
        <w:t>nº 0</w:t>
      </w:r>
      <w:r w:rsidR="007549D6" w:rsidRPr="003C5778">
        <w:rPr>
          <w:rFonts w:ascii="Times New Roman" w:eastAsia="Calibri" w:hAnsi="Times New Roman" w:cs="Times New Roman"/>
          <w:sz w:val="23"/>
          <w:szCs w:val="23"/>
        </w:rPr>
        <w:t>0</w:t>
      </w:r>
      <w:r w:rsidR="00B368F7">
        <w:rPr>
          <w:rFonts w:ascii="Times New Roman" w:eastAsia="Calibri" w:hAnsi="Times New Roman" w:cs="Times New Roman"/>
          <w:sz w:val="23"/>
          <w:szCs w:val="23"/>
        </w:rPr>
        <w:t>2</w:t>
      </w:r>
      <w:r w:rsidRPr="003C5778">
        <w:rPr>
          <w:rFonts w:ascii="Times New Roman" w:eastAsia="Calibri" w:hAnsi="Times New Roman" w:cs="Times New Roman"/>
          <w:sz w:val="23"/>
          <w:szCs w:val="23"/>
        </w:rPr>
        <w:t>/201</w:t>
      </w:r>
      <w:r w:rsidR="007549D6" w:rsidRPr="003C5778">
        <w:rPr>
          <w:rFonts w:ascii="Times New Roman" w:eastAsia="Calibri" w:hAnsi="Times New Roman" w:cs="Times New Roman"/>
          <w:sz w:val="23"/>
          <w:szCs w:val="23"/>
        </w:rPr>
        <w:t>8</w:t>
      </w:r>
      <w:r w:rsidRPr="003C5778">
        <w:rPr>
          <w:rFonts w:ascii="Times New Roman" w:eastAsia="Calibri" w:hAnsi="Times New Roman" w:cs="Times New Roman"/>
          <w:sz w:val="23"/>
          <w:szCs w:val="23"/>
        </w:rPr>
        <w:t xml:space="preserve"> </w:t>
      </w:r>
    </w:p>
    <w:p w:rsidR="00487662" w:rsidRDefault="00487662" w:rsidP="00E036E7">
      <w:pPr>
        <w:tabs>
          <w:tab w:val="left" w:pos="1418"/>
        </w:tabs>
        <w:spacing w:line="276" w:lineRule="auto"/>
        <w:jc w:val="both"/>
        <w:rPr>
          <w:rFonts w:ascii="Times New Roman" w:eastAsia="Calibri" w:hAnsi="Times New Roman" w:cs="Times New Roman"/>
          <w:sz w:val="23"/>
          <w:szCs w:val="23"/>
        </w:rPr>
      </w:pPr>
      <w:r w:rsidRPr="003C5778">
        <w:rPr>
          <w:rFonts w:ascii="Times New Roman" w:eastAsia="Calibri" w:hAnsi="Times New Roman" w:cs="Times New Roman"/>
          <w:b/>
          <w:sz w:val="23"/>
          <w:szCs w:val="23"/>
        </w:rPr>
        <w:t>Autor:</w:t>
      </w:r>
      <w:r w:rsidRPr="003C5778">
        <w:rPr>
          <w:rFonts w:ascii="Times New Roman" w:eastAsia="Calibri" w:hAnsi="Times New Roman" w:cs="Times New Roman"/>
          <w:sz w:val="23"/>
          <w:szCs w:val="23"/>
        </w:rPr>
        <w:t xml:space="preserve"> Poder Executivo</w:t>
      </w:r>
    </w:p>
    <w:p w:rsidR="007273BE" w:rsidRPr="00C811EB" w:rsidRDefault="007273BE" w:rsidP="007273BE">
      <w:pPr>
        <w:pStyle w:val="Default"/>
        <w:spacing w:line="276" w:lineRule="auto"/>
        <w:jc w:val="both"/>
        <w:rPr>
          <w:rFonts w:ascii="Times New Roman" w:eastAsia="Calibri" w:hAnsi="Times New Roman" w:cs="Times New Roman"/>
          <w:b/>
          <w:bCs/>
        </w:rPr>
      </w:pPr>
      <w:r w:rsidRPr="003C5778">
        <w:rPr>
          <w:rFonts w:ascii="Times New Roman" w:eastAsia="Calibri" w:hAnsi="Times New Roman" w:cs="Times New Roman"/>
          <w:b/>
          <w:sz w:val="23"/>
          <w:szCs w:val="23"/>
        </w:rPr>
        <w:t xml:space="preserve">Ementa: </w:t>
      </w:r>
      <w:r w:rsidRPr="00C811EB">
        <w:rPr>
          <w:rFonts w:ascii="Times New Roman" w:eastAsia="Calibri" w:hAnsi="Times New Roman" w:cs="Times New Roman"/>
        </w:rPr>
        <w:t>“</w:t>
      </w:r>
      <w:r w:rsidRPr="00F610EB">
        <w:rPr>
          <w:rFonts w:ascii="Times New Roman" w:eastAsia="Calibri" w:hAnsi="Times New Roman" w:cs="Times New Roman"/>
        </w:rPr>
        <w:t>Autoriza o Poder Executivo a realizar empréstimo para a Associação Franciscana de Assistência à Saúde – Hospital Arcanjo São Miguel – Sob intervenção administrativa, conforme Decreto Municipal nº 023/2016, até o limite de R$ 3.600.000,00 (três milhões e seiscentos mil reais)</w:t>
      </w:r>
      <w:r w:rsidRPr="00C811EB">
        <w:rPr>
          <w:rFonts w:ascii="Times New Roman" w:eastAsia="Calibri" w:hAnsi="Times New Roman" w:cs="Times New Roman"/>
          <w:iCs/>
        </w:rPr>
        <w:t>”.</w:t>
      </w:r>
    </w:p>
    <w:p w:rsidR="000046B9" w:rsidRPr="003C5778" w:rsidRDefault="00487662" w:rsidP="00E036E7">
      <w:pPr>
        <w:tabs>
          <w:tab w:val="left" w:pos="1418"/>
          <w:tab w:val="left" w:pos="4253"/>
        </w:tabs>
        <w:spacing w:line="276" w:lineRule="auto"/>
        <w:jc w:val="both"/>
        <w:rPr>
          <w:rFonts w:ascii="Times New Roman" w:eastAsia="Calibri" w:hAnsi="Times New Roman" w:cs="Times New Roman"/>
          <w:b/>
          <w:sz w:val="23"/>
          <w:szCs w:val="23"/>
        </w:rPr>
      </w:pPr>
      <w:r w:rsidRPr="003C5778">
        <w:rPr>
          <w:rFonts w:ascii="Times New Roman" w:eastAsia="Calibri" w:hAnsi="Times New Roman" w:cs="Times New Roman"/>
          <w:b/>
          <w:sz w:val="23"/>
          <w:szCs w:val="23"/>
        </w:rPr>
        <w:t>Relator:</w:t>
      </w:r>
      <w:r w:rsidR="00E036E7" w:rsidRPr="003C5778">
        <w:rPr>
          <w:rFonts w:ascii="Times New Roman" w:eastAsia="Calibri" w:hAnsi="Times New Roman" w:cs="Times New Roman"/>
          <w:b/>
          <w:sz w:val="23"/>
          <w:szCs w:val="23"/>
        </w:rPr>
        <w:t xml:space="preserve"> Ver. </w:t>
      </w:r>
      <w:proofErr w:type="spellStart"/>
      <w:r w:rsidR="00E036E7" w:rsidRPr="003C5778">
        <w:rPr>
          <w:rFonts w:ascii="Times New Roman" w:eastAsia="Calibri" w:hAnsi="Times New Roman" w:cs="Times New Roman"/>
          <w:b/>
          <w:sz w:val="23"/>
          <w:szCs w:val="23"/>
        </w:rPr>
        <w:t>Luia</w:t>
      </w:r>
      <w:proofErr w:type="spellEnd"/>
      <w:r w:rsidR="00E036E7" w:rsidRPr="003C5778">
        <w:rPr>
          <w:rFonts w:ascii="Times New Roman" w:eastAsia="Calibri" w:hAnsi="Times New Roman" w:cs="Times New Roman"/>
          <w:b/>
          <w:sz w:val="23"/>
          <w:szCs w:val="23"/>
        </w:rPr>
        <w:t xml:space="preserve"> </w:t>
      </w:r>
      <w:proofErr w:type="spellStart"/>
      <w:r w:rsidR="00E036E7" w:rsidRPr="003C5778">
        <w:rPr>
          <w:rFonts w:ascii="Times New Roman" w:eastAsia="Calibri" w:hAnsi="Times New Roman" w:cs="Times New Roman"/>
          <w:b/>
          <w:sz w:val="23"/>
          <w:szCs w:val="23"/>
        </w:rPr>
        <w:t>Barbacovi</w:t>
      </w:r>
      <w:proofErr w:type="spellEnd"/>
    </w:p>
    <w:p w:rsidR="000046B9" w:rsidRPr="003C5778" w:rsidRDefault="000046B9" w:rsidP="00E036E7">
      <w:pPr>
        <w:tabs>
          <w:tab w:val="left" w:pos="1418"/>
          <w:tab w:val="left" w:pos="4253"/>
        </w:tabs>
        <w:spacing w:line="276" w:lineRule="auto"/>
        <w:jc w:val="both"/>
        <w:rPr>
          <w:rFonts w:ascii="Times New Roman" w:eastAsia="Calibri" w:hAnsi="Times New Roman" w:cs="Times New Roman"/>
          <w:sz w:val="23"/>
          <w:szCs w:val="23"/>
        </w:rPr>
      </w:pPr>
      <w:r w:rsidRPr="003C5778">
        <w:rPr>
          <w:rFonts w:ascii="Times New Roman" w:eastAsia="Calibri" w:hAnsi="Times New Roman" w:cs="Times New Roman"/>
          <w:b/>
          <w:sz w:val="23"/>
          <w:szCs w:val="23"/>
        </w:rPr>
        <w:t xml:space="preserve">Protocolo: </w:t>
      </w:r>
      <w:r w:rsidRPr="003C5778">
        <w:rPr>
          <w:rFonts w:ascii="Times New Roman" w:eastAsia="Calibri" w:hAnsi="Times New Roman" w:cs="Times New Roman"/>
          <w:sz w:val="23"/>
          <w:szCs w:val="23"/>
        </w:rPr>
        <w:t>05/01/2018</w:t>
      </w:r>
      <w:r w:rsidR="00375DA8" w:rsidRPr="003C5778">
        <w:rPr>
          <w:rFonts w:ascii="Times New Roman" w:eastAsia="Calibri" w:hAnsi="Times New Roman" w:cs="Times New Roman"/>
          <w:sz w:val="23"/>
          <w:szCs w:val="23"/>
        </w:rPr>
        <w:tab/>
        <w:t xml:space="preserve">     </w:t>
      </w:r>
      <w:r w:rsidR="007549D6" w:rsidRPr="003C5778">
        <w:rPr>
          <w:rFonts w:ascii="Times New Roman" w:eastAsia="Calibri" w:hAnsi="Times New Roman" w:cs="Times New Roman"/>
          <w:sz w:val="23"/>
          <w:szCs w:val="23"/>
        </w:rPr>
        <w:t xml:space="preserve">              </w:t>
      </w:r>
    </w:p>
    <w:p w:rsidR="00487662" w:rsidRPr="003C5778" w:rsidRDefault="00487662" w:rsidP="00E036E7">
      <w:pPr>
        <w:tabs>
          <w:tab w:val="left" w:pos="1418"/>
          <w:tab w:val="left" w:pos="4253"/>
        </w:tabs>
        <w:spacing w:line="276" w:lineRule="auto"/>
        <w:jc w:val="both"/>
        <w:rPr>
          <w:rFonts w:ascii="Times New Roman" w:eastAsia="Calibri" w:hAnsi="Times New Roman" w:cs="Times New Roman"/>
          <w:sz w:val="23"/>
          <w:szCs w:val="23"/>
        </w:rPr>
      </w:pPr>
      <w:r w:rsidRPr="003C5778">
        <w:rPr>
          <w:rFonts w:ascii="Times New Roman" w:eastAsia="Calibri" w:hAnsi="Times New Roman" w:cs="Times New Roman"/>
          <w:b/>
          <w:sz w:val="23"/>
          <w:szCs w:val="23"/>
        </w:rPr>
        <w:t>Conclusão do Voto:</w:t>
      </w:r>
      <w:r w:rsidRPr="003C5778">
        <w:rPr>
          <w:rFonts w:ascii="Times New Roman" w:eastAsia="Calibri" w:hAnsi="Times New Roman" w:cs="Times New Roman"/>
          <w:sz w:val="23"/>
          <w:szCs w:val="23"/>
        </w:rPr>
        <w:t xml:space="preserve"> </w:t>
      </w:r>
      <w:r w:rsidR="00375DA8" w:rsidRPr="003C5778">
        <w:rPr>
          <w:rFonts w:ascii="Times New Roman" w:eastAsia="Calibri" w:hAnsi="Times New Roman" w:cs="Times New Roman"/>
          <w:sz w:val="23"/>
          <w:szCs w:val="23"/>
        </w:rPr>
        <w:t>favorável</w:t>
      </w:r>
      <w:r w:rsidR="007549D6" w:rsidRPr="003C5778">
        <w:rPr>
          <w:rFonts w:ascii="Times New Roman" w:eastAsia="Calibri" w:hAnsi="Times New Roman" w:cs="Times New Roman"/>
          <w:sz w:val="23"/>
          <w:szCs w:val="23"/>
        </w:rPr>
        <w:t xml:space="preserve"> à tramitação da matéria</w:t>
      </w:r>
    </w:p>
    <w:p w:rsidR="00487662" w:rsidRPr="003C5778" w:rsidRDefault="00487662" w:rsidP="007273BE">
      <w:pPr>
        <w:pStyle w:val="Default"/>
        <w:spacing w:line="276" w:lineRule="auto"/>
        <w:jc w:val="both"/>
        <w:rPr>
          <w:rFonts w:ascii="Times New Roman" w:eastAsia="Calibri" w:hAnsi="Times New Roman" w:cs="Times New Roman"/>
          <w:sz w:val="23"/>
          <w:szCs w:val="23"/>
        </w:rPr>
      </w:pPr>
    </w:p>
    <w:p w:rsidR="00487662" w:rsidRPr="003C5778" w:rsidRDefault="00487662" w:rsidP="00E036E7">
      <w:pPr>
        <w:tabs>
          <w:tab w:val="left" w:pos="1418"/>
          <w:tab w:val="left" w:pos="5059"/>
        </w:tabs>
        <w:spacing w:line="276" w:lineRule="auto"/>
        <w:jc w:val="center"/>
        <w:rPr>
          <w:rFonts w:ascii="Times New Roman" w:eastAsia="Calibri" w:hAnsi="Times New Roman" w:cs="Times New Roman"/>
          <w:b/>
          <w:sz w:val="23"/>
          <w:szCs w:val="23"/>
        </w:rPr>
      </w:pPr>
      <w:r w:rsidRPr="003C5778">
        <w:rPr>
          <w:rFonts w:ascii="Times New Roman" w:eastAsia="Calibri" w:hAnsi="Times New Roman" w:cs="Times New Roman"/>
          <w:b/>
          <w:sz w:val="23"/>
          <w:szCs w:val="23"/>
        </w:rPr>
        <w:t>Relatório:</w:t>
      </w:r>
    </w:p>
    <w:p w:rsidR="00134D6D" w:rsidRPr="00134D6D" w:rsidRDefault="00487662" w:rsidP="00134D6D">
      <w:pPr>
        <w:tabs>
          <w:tab w:val="left" w:pos="2268"/>
          <w:tab w:val="left" w:pos="5059"/>
        </w:tabs>
        <w:spacing w:line="276" w:lineRule="auto"/>
        <w:jc w:val="both"/>
        <w:rPr>
          <w:rFonts w:ascii="Times New Roman" w:eastAsia="Calibri" w:hAnsi="Times New Roman" w:cs="Times New Roman"/>
          <w:sz w:val="24"/>
          <w:szCs w:val="24"/>
        </w:rPr>
      </w:pPr>
      <w:r w:rsidRPr="003C5778">
        <w:rPr>
          <w:rFonts w:ascii="Times New Roman" w:eastAsia="Calibri" w:hAnsi="Times New Roman" w:cs="Times New Roman"/>
          <w:sz w:val="23"/>
          <w:szCs w:val="23"/>
        </w:rPr>
        <w:tab/>
      </w:r>
      <w:r w:rsidR="00134D6D" w:rsidRPr="00134D6D">
        <w:rPr>
          <w:rFonts w:ascii="Times New Roman" w:eastAsia="Calibri" w:hAnsi="Times New Roman" w:cs="Times New Roman"/>
          <w:sz w:val="24"/>
          <w:szCs w:val="24"/>
        </w:rPr>
        <w:t>O Projeto de Lei em análise foi apresentado nesta Casa Legislativa no dia 05 de janeiro de 2018, que requer autorização legislativa para que o Município possa realizar empréstimo para a Associação Franciscana de Assistência à Saúde – Hospital Arcanjo São Miguel, que está sob intervenção administrativa do Município, conforme Decreto Municipal nº 023/2016. Na justifica, aduz o Poder Executivo que, notória a dificuldade financeira por que passa o Hospital, devido ao atraso no repasse de recursos para a saúde pelo Estado, e também em razão da expectativa de liberação do teto MAC, que acaba por prejudicar o atendimento ao cidadão, situação que se perdura há muito tempo no município. Motiva, ainda, a presente propositura, ser a saúde pública um direito constitucional, que deve ser garantido pelo Estado a todos os cidadãos. Informa, por conseguinte, que o repasse destes recursos pelo Erário Público ocorrerão sem a cobrança de encargos financeiros e juros, conforme dispõe a lei municipal nº 3587/2017 – LDO 2018, e que o pagamento do último empréstimo realizado em setembro de 2017, através da lei municipal nº 3.576/2017, será amortizado no ato do repasse do recurso público contido nesta proposição. Por fim, informa que se faz necessária apreciação da matéria em regime de urgência, por conta da gravidade do caso, sendo uma verba necessária ao funcionamento do Hospital, para dar continuidade aos serviços hospitalares, vez que foram investidos recursos na manutenção e compra de equipamentos que se encontravam sucateados, além da regularização dos pagamentos aos fornecedores e profissionais, que estavam em atraso.</w:t>
      </w:r>
    </w:p>
    <w:p w:rsidR="00134D6D" w:rsidRPr="00134D6D" w:rsidRDefault="00134D6D" w:rsidP="00134D6D">
      <w:pPr>
        <w:tabs>
          <w:tab w:val="left" w:pos="2268"/>
          <w:tab w:val="left" w:pos="5059"/>
        </w:tabs>
        <w:spacing w:line="276" w:lineRule="auto"/>
        <w:ind w:firstLine="2268"/>
        <w:jc w:val="both"/>
        <w:rPr>
          <w:rFonts w:ascii="Times New Roman" w:eastAsia="Calibri" w:hAnsi="Times New Roman" w:cs="Times New Roman"/>
          <w:sz w:val="24"/>
          <w:szCs w:val="24"/>
        </w:rPr>
      </w:pPr>
      <w:r w:rsidRPr="00134D6D">
        <w:rPr>
          <w:rFonts w:ascii="Times New Roman" w:eastAsia="Calibri" w:hAnsi="Times New Roman" w:cs="Times New Roman"/>
          <w:sz w:val="24"/>
          <w:szCs w:val="24"/>
        </w:rPr>
        <w:lastRenderedPageBreak/>
        <w:t xml:space="preserve">O projeto já foi analisado pela Procuradora Geral da Casa, a qual proferiu Orientação Jurídica nº 05/2018, </w:t>
      </w:r>
      <w:r w:rsidRPr="00134D6D">
        <w:rPr>
          <w:rFonts w:ascii="Times New Roman" w:eastAsia="Calibri" w:hAnsi="Times New Roman" w:cs="Times New Roman"/>
          <w:b/>
          <w:bCs/>
          <w:sz w:val="24"/>
          <w:szCs w:val="24"/>
        </w:rPr>
        <w:t xml:space="preserve">favorável </w:t>
      </w:r>
      <w:r w:rsidRPr="00134D6D">
        <w:rPr>
          <w:rFonts w:ascii="Times New Roman" w:eastAsia="Calibri" w:hAnsi="Times New Roman" w:cs="Times New Roman"/>
          <w:sz w:val="24"/>
          <w:szCs w:val="24"/>
        </w:rPr>
        <w:t>à tramitação do PL 03/2018, pois atende as normas legais impostas, estando presentes a legalidade e constitucionalidade.</w:t>
      </w:r>
      <w:r w:rsidRPr="00134D6D">
        <w:rPr>
          <w:rFonts w:ascii="Times New Roman" w:eastAsia="Calibri" w:hAnsi="Times New Roman" w:cs="Times New Roman"/>
          <w:b/>
          <w:bCs/>
          <w:sz w:val="24"/>
          <w:szCs w:val="24"/>
        </w:rPr>
        <w:t xml:space="preserve"> </w:t>
      </w:r>
      <w:r w:rsidRPr="00134D6D">
        <w:rPr>
          <w:rFonts w:ascii="Times New Roman" w:eastAsia="Calibri" w:hAnsi="Times New Roman" w:cs="Times New Roman"/>
          <w:sz w:val="24"/>
          <w:szCs w:val="24"/>
        </w:rPr>
        <w:t>Tal orientação jurídica embasa a elaboração do presente parecer.</w:t>
      </w:r>
    </w:p>
    <w:p w:rsidR="00C518D5" w:rsidRPr="003C5778" w:rsidRDefault="00C518D5" w:rsidP="00134D6D">
      <w:pPr>
        <w:tabs>
          <w:tab w:val="left" w:pos="2268"/>
          <w:tab w:val="left" w:pos="5059"/>
        </w:tabs>
        <w:spacing w:line="276" w:lineRule="auto"/>
        <w:jc w:val="both"/>
        <w:rPr>
          <w:rFonts w:ascii="Times New Roman" w:eastAsia="Calibri" w:hAnsi="Times New Roman" w:cs="Times New Roman"/>
          <w:b/>
          <w:sz w:val="23"/>
          <w:szCs w:val="23"/>
        </w:rPr>
      </w:pPr>
    </w:p>
    <w:p w:rsidR="000E2A67" w:rsidRPr="003C5778" w:rsidRDefault="00487662" w:rsidP="00E036E7">
      <w:pPr>
        <w:pStyle w:val="SemEspaamento"/>
        <w:spacing w:line="276" w:lineRule="auto"/>
        <w:jc w:val="center"/>
        <w:rPr>
          <w:rFonts w:ascii="Times New Roman" w:hAnsi="Times New Roman" w:cs="Times New Roman"/>
          <w:sz w:val="23"/>
          <w:szCs w:val="23"/>
        </w:rPr>
      </w:pPr>
      <w:r w:rsidRPr="003C5778">
        <w:rPr>
          <w:rFonts w:ascii="Times New Roman" w:hAnsi="Times New Roman" w:cs="Times New Roman"/>
          <w:sz w:val="23"/>
          <w:szCs w:val="23"/>
        </w:rPr>
        <w:t>Análise</w:t>
      </w:r>
      <w:r w:rsidR="000E2A67" w:rsidRPr="003C5778">
        <w:rPr>
          <w:rFonts w:ascii="Times New Roman" w:hAnsi="Times New Roman" w:cs="Times New Roman"/>
          <w:sz w:val="23"/>
          <w:szCs w:val="23"/>
        </w:rPr>
        <w:t>:</w:t>
      </w:r>
    </w:p>
    <w:p w:rsidR="000E2A67" w:rsidRPr="003C5778" w:rsidRDefault="000E2A67" w:rsidP="00E036E7">
      <w:pPr>
        <w:pStyle w:val="SemEspaamento"/>
        <w:spacing w:line="276" w:lineRule="auto"/>
        <w:rPr>
          <w:rFonts w:ascii="Times New Roman" w:hAnsi="Times New Roman" w:cs="Times New Roman"/>
          <w:b/>
          <w:sz w:val="23"/>
          <w:szCs w:val="23"/>
        </w:rPr>
      </w:pPr>
      <w:r w:rsidRPr="003C5778">
        <w:rPr>
          <w:rFonts w:ascii="Times New Roman" w:hAnsi="Times New Roman" w:cs="Times New Roman"/>
          <w:b/>
          <w:sz w:val="23"/>
          <w:szCs w:val="23"/>
        </w:rPr>
        <w:t xml:space="preserve">I – Quanto à área de </w:t>
      </w:r>
      <w:r w:rsidR="00B3511A" w:rsidRPr="003C5778">
        <w:rPr>
          <w:rFonts w:ascii="Times New Roman" w:hAnsi="Times New Roman" w:cs="Times New Roman"/>
          <w:b/>
          <w:sz w:val="23"/>
          <w:szCs w:val="23"/>
        </w:rPr>
        <w:t>Orçamento e Finanças</w:t>
      </w:r>
    </w:p>
    <w:p w:rsidR="000E2A67" w:rsidRDefault="000E2A67" w:rsidP="00E036E7">
      <w:pPr>
        <w:pStyle w:val="SemEspaamento"/>
        <w:spacing w:line="276" w:lineRule="auto"/>
        <w:rPr>
          <w:rFonts w:ascii="Times New Roman" w:hAnsi="Times New Roman" w:cs="Times New Roman"/>
          <w:b/>
          <w:sz w:val="23"/>
          <w:szCs w:val="23"/>
        </w:rPr>
      </w:pPr>
      <w:r w:rsidRPr="003C5778">
        <w:rPr>
          <w:rFonts w:ascii="Times New Roman" w:hAnsi="Times New Roman" w:cs="Times New Roman"/>
          <w:b/>
          <w:sz w:val="23"/>
          <w:szCs w:val="23"/>
        </w:rPr>
        <w:t>Art. 5</w:t>
      </w:r>
      <w:r w:rsidR="00B3511A" w:rsidRPr="003C5778">
        <w:rPr>
          <w:rFonts w:ascii="Times New Roman" w:hAnsi="Times New Roman" w:cs="Times New Roman"/>
          <w:b/>
          <w:sz w:val="23"/>
          <w:szCs w:val="23"/>
        </w:rPr>
        <w:t>5</w:t>
      </w:r>
      <w:r w:rsidRPr="003C5778">
        <w:rPr>
          <w:rFonts w:ascii="Times New Roman" w:hAnsi="Times New Roman" w:cs="Times New Roman"/>
          <w:b/>
          <w:sz w:val="23"/>
          <w:szCs w:val="23"/>
        </w:rPr>
        <w:t>, I</w:t>
      </w:r>
      <w:r w:rsidR="00B3511A" w:rsidRPr="003C5778">
        <w:rPr>
          <w:rFonts w:ascii="Times New Roman" w:hAnsi="Times New Roman" w:cs="Times New Roman"/>
          <w:b/>
          <w:sz w:val="23"/>
          <w:szCs w:val="23"/>
        </w:rPr>
        <w:t xml:space="preserve"> e II</w:t>
      </w:r>
      <w:r w:rsidRPr="003C5778">
        <w:rPr>
          <w:rFonts w:ascii="Times New Roman" w:hAnsi="Times New Roman" w:cs="Times New Roman"/>
          <w:b/>
          <w:sz w:val="23"/>
          <w:szCs w:val="23"/>
        </w:rPr>
        <w:t>, do Regimento Interno desta Casa:</w:t>
      </w:r>
    </w:p>
    <w:p w:rsidR="00134D6D" w:rsidRPr="000E4374" w:rsidRDefault="00134D6D" w:rsidP="00134D6D">
      <w:pPr>
        <w:pStyle w:val="SemEspaamento"/>
        <w:spacing w:line="276" w:lineRule="auto"/>
        <w:ind w:firstLine="2268"/>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0E4374">
        <w:rPr>
          <w:rFonts w:ascii="Times New Roman" w:eastAsia="Calibri" w:hAnsi="Times New Roman" w:cs="Times New Roman"/>
          <w:sz w:val="24"/>
          <w:szCs w:val="24"/>
        </w:rPr>
        <w:t xml:space="preserve"> projeto ora em análise está intimamente atrelado ao interesse público e à Política social, pois o Hospital Arcanjo São Miguel encontra-se sob intervenção do Município, conforme Decreto Municipal nº 023/2016, cuja motivação para intervenção foi justamente o perigo de iminente interrupção na prestação dos serviços, que colocava toda população em declaração de perigo. </w:t>
      </w:r>
    </w:p>
    <w:p w:rsidR="00134D6D" w:rsidRPr="000E4374" w:rsidRDefault="00134D6D" w:rsidP="00134D6D">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Em que pese nova comissão gestora desde a intervenção, o Hospital continua deficitário, tendo requerido empréstimos anteriores ao Município, como os autorizados pelas leis municipais nº 3531/2017 e 3576/2017, em termos similares, e que vem sendo liquidados mensalmente, garantindo o fluxo de caixa mínimo para manutenção dos serviços essenciais à população. </w:t>
      </w:r>
    </w:p>
    <w:p w:rsidR="00134D6D" w:rsidRPr="000E4374" w:rsidRDefault="00134D6D" w:rsidP="00134D6D">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A Lei de Responsabilidade Fiscal, Lei Complementar nº 101/2000, estabelece as condições para a destinação de recursos para cobrir necessidades de pessoas físicas ou déficit de pessoas jurídicas, senão vejamos: </w:t>
      </w:r>
    </w:p>
    <w:p w:rsidR="00134D6D" w:rsidRPr="001611CA" w:rsidRDefault="00134D6D" w:rsidP="00134D6D">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“Art. 26. A destinação de recursos </w:t>
      </w:r>
      <w:proofErr w:type="gramStart"/>
      <w:r w:rsidRPr="001611CA">
        <w:rPr>
          <w:rFonts w:ascii="Times New Roman" w:eastAsia="Calibri" w:hAnsi="Times New Roman" w:cs="Times New Roman"/>
          <w:i/>
          <w:iCs/>
          <w:szCs w:val="24"/>
        </w:rPr>
        <w:t>para, direta</w:t>
      </w:r>
      <w:proofErr w:type="gramEnd"/>
      <w:r w:rsidRPr="001611CA">
        <w:rPr>
          <w:rFonts w:ascii="Times New Roman" w:eastAsia="Calibri" w:hAnsi="Times New Roman" w:cs="Times New Roman"/>
          <w:i/>
          <w:iCs/>
          <w:szCs w:val="24"/>
        </w:rPr>
        <w:t xml:space="preserve"> ou indiretamente, cobrir necessidades de pessoas físicas ou déficits de pessoas jurídicas deverá ser autorizada </w:t>
      </w:r>
      <w:r w:rsidRPr="001611CA">
        <w:rPr>
          <w:rFonts w:ascii="Times New Roman" w:eastAsia="Calibri" w:hAnsi="Times New Roman" w:cs="Times New Roman"/>
          <w:b/>
          <w:bCs/>
          <w:i/>
          <w:iCs/>
          <w:szCs w:val="24"/>
        </w:rPr>
        <w:t xml:space="preserve">por lei específica, </w:t>
      </w:r>
      <w:r w:rsidRPr="001611CA">
        <w:rPr>
          <w:rFonts w:ascii="Times New Roman" w:eastAsia="Calibri" w:hAnsi="Times New Roman" w:cs="Times New Roman"/>
          <w:i/>
          <w:iCs/>
          <w:szCs w:val="24"/>
        </w:rPr>
        <w:t xml:space="preserve">atender às condições estabelecidas na </w:t>
      </w:r>
      <w:r w:rsidRPr="001611CA">
        <w:rPr>
          <w:rFonts w:ascii="Times New Roman" w:eastAsia="Calibri" w:hAnsi="Times New Roman" w:cs="Times New Roman"/>
          <w:b/>
          <w:bCs/>
          <w:i/>
          <w:iCs/>
          <w:szCs w:val="24"/>
        </w:rPr>
        <w:t xml:space="preserve">lei de diretrizes orçamentárias e estar prevista no orçamento ou em seus créditos adicionais. </w:t>
      </w:r>
    </w:p>
    <w:p w:rsidR="00134D6D" w:rsidRPr="001611CA" w:rsidRDefault="00134D6D" w:rsidP="00134D6D">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 1o O disposto no caput aplica-se a toda a administração indireta, inclusive fundações públicas e empresas estatais, exceto, no exercício de suas atribuições precípuas, as instituições financeiras e o Banco Central do Brasil. </w:t>
      </w:r>
    </w:p>
    <w:p w:rsidR="00134D6D" w:rsidRPr="001611CA" w:rsidRDefault="00134D6D" w:rsidP="00134D6D">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 2o Compreende-se incluída a concessão de empréstimos, financiamentos e refinanciamentos, inclusive as respectivas prorrogações e a composição de dívidas, a concessão de subvenções e a participação em constituição ou aumento de capital. </w:t>
      </w:r>
    </w:p>
    <w:p w:rsidR="00134D6D" w:rsidRPr="000E4374" w:rsidRDefault="00134D6D" w:rsidP="00134D6D">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Desta forma, adequado o encaminhamento pelo Executivo Municipal de projeto de lei, buscando a autorização legislativa para a sua viabilidade. </w:t>
      </w:r>
    </w:p>
    <w:p w:rsidR="00134D6D" w:rsidRPr="000E4374" w:rsidRDefault="00134D6D" w:rsidP="00134D6D">
      <w:pPr>
        <w:pStyle w:val="SemEspaamento"/>
        <w:spacing w:line="276" w:lineRule="auto"/>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Nos mesmos termos, citamos o disposto na Lei de Diretrizes orçamentárias, lei Municipal nº 3587/2017, art. 25: </w:t>
      </w:r>
    </w:p>
    <w:p w:rsidR="00134D6D" w:rsidRPr="001611CA" w:rsidRDefault="00134D6D" w:rsidP="00134D6D">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b/>
          <w:bCs/>
          <w:i/>
          <w:iCs/>
          <w:szCs w:val="24"/>
        </w:rPr>
        <w:t xml:space="preserve">Art. 25 </w:t>
      </w:r>
      <w:r w:rsidRPr="001611CA">
        <w:rPr>
          <w:rFonts w:ascii="Times New Roman" w:eastAsia="Calibri" w:hAnsi="Times New Roman" w:cs="Times New Roman"/>
          <w:i/>
          <w:iCs/>
          <w:szCs w:val="24"/>
        </w:rPr>
        <w:t xml:space="preserve">A transferência de recursos públicos para cobrir déficits de pessoas jurídicas com a finalidade de conceder benefícios fiscais ou econômicos, além das condições fiscais previstas no art. 14 da Lei de Responsabilidade Fiscal, deverá ser autorizada por lei específica e, ainda, atender a uma das seguintes condições: </w:t>
      </w:r>
    </w:p>
    <w:p w:rsidR="00134D6D" w:rsidRPr="001611CA" w:rsidRDefault="00134D6D" w:rsidP="00134D6D">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lastRenderedPageBreak/>
        <w:t xml:space="preserve">I - </w:t>
      </w:r>
      <w:proofErr w:type="gramStart"/>
      <w:r w:rsidRPr="001611CA">
        <w:rPr>
          <w:rFonts w:ascii="Times New Roman" w:eastAsia="Calibri" w:hAnsi="Times New Roman" w:cs="Times New Roman"/>
          <w:i/>
          <w:iCs/>
          <w:szCs w:val="24"/>
        </w:rPr>
        <w:t>a</w:t>
      </w:r>
      <w:proofErr w:type="gramEnd"/>
      <w:r w:rsidRPr="001611CA">
        <w:rPr>
          <w:rFonts w:ascii="Times New Roman" w:eastAsia="Calibri" w:hAnsi="Times New Roman" w:cs="Times New Roman"/>
          <w:i/>
          <w:iCs/>
          <w:szCs w:val="24"/>
        </w:rPr>
        <w:t xml:space="preserve"> necessidade deve ser momentânea e recair sobre pessoa física ou entidade cuja ausência de atuação do Poder Público possa justificar a sua extinção com repercussão social grave no Município. </w:t>
      </w:r>
    </w:p>
    <w:p w:rsidR="00134D6D" w:rsidRPr="001611CA" w:rsidRDefault="00134D6D" w:rsidP="00134D6D">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II - </w:t>
      </w:r>
      <w:proofErr w:type="gramStart"/>
      <w:r w:rsidRPr="001611CA">
        <w:rPr>
          <w:rFonts w:ascii="Times New Roman" w:eastAsia="Calibri" w:hAnsi="Times New Roman" w:cs="Times New Roman"/>
          <w:i/>
          <w:iCs/>
          <w:szCs w:val="24"/>
        </w:rPr>
        <w:t>incentivo</w:t>
      </w:r>
      <w:proofErr w:type="gramEnd"/>
      <w:r w:rsidRPr="001611CA">
        <w:rPr>
          <w:rFonts w:ascii="Times New Roman" w:eastAsia="Calibri" w:hAnsi="Times New Roman" w:cs="Times New Roman"/>
          <w:i/>
          <w:iCs/>
          <w:szCs w:val="24"/>
        </w:rPr>
        <w:t xml:space="preserve"> fiscal para a instalação e manutenção de empresas industriais, comerciais e de serviços, nos termos do que já dispõe a Lei Municipal sobre a matéria. </w:t>
      </w:r>
    </w:p>
    <w:p w:rsidR="00134D6D" w:rsidRPr="001611CA" w:rsidRDefault="00134D6D" w:rsidP="00134D6D">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III - no que se refere à concessão de empréstimos destinados a pessoas físicas e jurídicas, além do pagamento dos encargos financeiros de juros não inferiores a 12% (doze por cento) ao ano ou ao custo de captação, </w:t>
      </w:r>
    </w:p>
    <w:p w:rsidR="00134D6D" w:rsidRPr="001611CA" w:rsidRDefault="00134D6D" w:rsidP="00134D6D">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nos termos do que dispõe o art. 27 da Lei Complementar nº 101, de 2000, estes ficam condicionados ainda a: </w:t>
      </w:r>
    </w:p>
    <w:p w:rsidR="00134D6D" w:rsidRPr="001611CA" w:rsidRDefault="00134D6D" w:rsidP="00134D6D">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a) formalização de contrato ou congênere; </w:t>
      </w:r>
    </w:p>
    <w:p w:rsidR="00134D6D" w:rsidRPr="001611CA" w:rsidRDefault="00134D6D" w:rsidP="00134D6D">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b) aprovação de projeto de investimentos pelo Poder Público; c) acompanhamento da execução; e </w:t>
      </w:r>
    </w:p>
    <w:p w:rsidR="00134D6D" w:rsidRPr="001611CA" w:rsidRDefault="00134D6D" w:rsidP="00134D6D">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d) prestação de contas. </w:t>
      </w:r>
    </w:p>
    <w:p w:rsidR="00134D6D" w:rsidRPr="001611CA" w:rsidRDefault="00134D6D" w:rsidP="00134D6D">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IV - </w:t>
      </w:r>
      <w:proofErr w:type="gramStart"/>
      <w:r w:rsidRPr="001611CA">
        <w:rPr>
          <w:rFonts w:ascii="Times New Roman" w:eastAsia="Calibri" w:hAnsi="Times New Roman" w:cs="Times New Roman"/>
          <w:i/>
          <w:iCs/>
          <w:szCs w:val="24"/>
        </w:rPr>
        <w:t>subvenção</w:t>
      </w:r>
      <w:proofErr w:type="gramEnd"/>
      <w:r w:rsidRPr="001611CA">
        <w:rPr>
          <w:rFonts w:ascii="Times New Roman" w:eastAsia="Calibri" w:hAnsi="Times New Roman" w:cs="Times New Roman"/>
          <w:i/>
          <w:iCs/>
          <w:szCs w:val="24"/>
        </w:rPr>
        <w:t xml:space="preserve"> econômica à entidade que se destine à captação de eventos com a finalidade econômica, com geração de emprego, negócios e turismo do município. </w:t>
      </w:r>
    </w:p>
    <w:p w:rsidR="00134D6D" w:rsidRPr="001611CA" w:rsidRDefault="00134D6D" w:rsidP="00134D6D">
      <w:pPr>
        <w:pStyle w:val="SemEspaamento"/>
        <w:spacing w:line="276" w:lineRule="auto"/>
        <w:jc w:val="both"/>
        <w:rPr>
          <w:rFonts w:ascii="Times New Roman" w:eastAsia="Calibri" w:hAnsi="Times New Roman" w:cs="Times New Roman"/>
          <w:szCs w:val="24"/>
        </w:rPr>
      </w:pPr>
      <w:r w:rsidRPr="001611CA">
        <w:rPr>
          <w:rFonts w:ascii="Times New Roman" w:eastAsia="Calibri" w:hAnsi="Times New Roman" w:cs="Times New Roman"/>
          <w:i/>
          <w:iCs/>
          <w:szCs w:val="24"/>
        </w:rPr>
        <w:t xml:space="preserve">Parágrafo único. Lei específica poderá, conforme possibilita o parágrafo único do art. 27 da Lei Complementar nº 101, de 2000, estabelecer subsídio para empréstimos de que trata o inciso III deste artigo. </w:t>
      </w:r>
    </w:p>
    <w:p w:rsidR="00134D6D" w:rsidRPr="000E4374" w:rsidRDefault="00134D6D" w:rsidP="00134D6D">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No que se refere a dotação orçamentária, conforme art. 167, II, CF/88, é vedada a realização de despesas ou assunção de obrigações diretas que excedam os créditos orçamentários. Significa dizer que a previsão orçamentária é prévia à apresentação de qualquer Projeto de Lei, ou seja, a dotação vem antes da propositura do PL, não sendo necessária a indicação expressa da rubrica orçamentária no corpo do Projeto de Lei. Portanto, cabe ao Executivo Municipal definir a fonte de recursos, e ainda que não obrigatória a expressão de forma detalhada, no caso do presente PL está indicado pela dotação orçamentária da Secretaria da Saúde. </w:t>
      </w:r>
    </w:p>
    <w:p w:rsidR="00134D6D" w:rsidRPr="000E4374" w:rsidRDefault="00134D6D" w:rsidP="00134D6D">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Em relação ao prazo para devolução dos recursos aos cofres públicos, se o Poder Executivo estabeleceu prazo para devolução do empréstimo dentro do exercício de 2018, em 11(onze) prestações mensais e sucessivas, com término previsto para dezembro de 2018, pressupondo ter recursos financeiros suficientes para cumprir todas obrigações constitucionais do município em 2018, além de cumprir com compromissos empenhados, sem interferir nas metas fiscais, atendendo a Lei de Responsabilidade Fiscal, dentro do equilíbrio fiscal exigido e das normas legais. </w:t>
      </w:r>
    </w:p>
    <w:p w:rsidR="00134D6D" w:rsidRDefault="00134D6D" w:rsidP="00134D6D">
      <w:pPr>
        <w:pStyle w:val="SemEspaamento"/>
        <w:spacing w:line="276" w:lineRule="auto"/>
        <w:ind w:firstLine="2268"/>
        <w:jc w:val="both"/>
        <w:rPr>
          <w:rFonts w:ascii="Times New Roman" w:eastAsia="Calibri" w:hAnsi="Times New Roman" w:cs="Times New Roman"/>
          <w:sz w:val="24"/>
          <w:szCs w:val="24"/>
        </w:rPr>
      </w:pPr>
      <w:r w:rsidRPr="000E4374">
        <w:rPr>
          <w:rFonts w:ascii="Times New Roman" w:eastAsia="Calibri" w:hAnsi="Times New Roman" w:cs="Times New Roman"/>
          <w:sz w:val="24"/>
          <w:szCs w:val="24"/>
        </w:rPr>
        <w:t xml:space="preserve">No que se refere ao art. 14 da LRF, que trata da renúncia de receita, registramos que os termos propostos não se trata de nenhuma renúncia, vez que os valores serão devolvidos na integralidade aos cofres públicos, e eventual atraso na devolução implicará encargos definidos na lei. </w:t>
      </w:r>
    </w:p>
    <w:p w:rsidR="00186518" w:rsidRDefault="00186518" w:rsidP="00134D6D">
      <w:pPr>
        <w:pStyle w:val="SemEspaamento"/>
        <w:spacing w:line="276" w:lineRule="auto"/>
        <w:ind w:firstLine="22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Esta Comissão apenas ressalva que havendo desapropriação do hospital, o empréstimo deve ser abatido do total a ser pago, ou seja, computado dentro da </w:t>
      </w:r>
      <w:r>
        <w:rPr>
          <w:rFonts w:ascii="Times New Roman" w:eastAsia="Calibri" w:hAnsi="Times New Roman" w:cs="Times New Roman"/>
          <w:sz w:val="24"/>
          <w:szCs w:val="24"/>
        </w:rPr>
        <w:lastRenderedPageBreak/>
        <w:t xml:space="preserve">negociação. Ainda, requer, através de auditoria, prestação de contas das finanças da instituição. </w:t>
      </w:r>
    </w:p>
    <w:p w:rsidR="00CF5E94" w:rsidRPr="000E4374" w:rsidRDefault="00CF5E94" w:rsidP="00134D6D">
      <w:pPr>
        <w:pStyle w:val="SemEspaamento"/>
        <w:spacing w:line="276" w:lineRule="auto"/>
        <w:ind w:firstLine="22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 fim, o Poder Executivo informou através do ofício 019/2018, que a Associação Franciscana de Assistência a Saúde quitou regularmente o empréstimo de R$1,5 milhões concedido pela Prefeitura </w:t>
      </w:r>
      <w:bookmarkStart w:id="0" w:name="_GoBack"/>
      <w:bookmarkEnd w:id="0"/>
      <w:r>
        <w:rPr>
          <w:rFonts w:ascii="Times New Roman" w:eastAsia="Calibri" w:hAnsi="Times New Roman" w:cs="Times New Roman"/>
          <w:sz w:val="24"/>
          <w:szCs w:val="24"/>
        </w:rPr>
        <w:t xml:space="preserve">Municipal de Gramado.  </w:t>
      </w:r>
    </w:p>
    <w:p w:rsidR="00900575" w:rsidRPr="003C5778" w:rsidRDefault="00900575" w:rsidP="00E036E7">
      <w:pPr>
        <w:pStyle w:val="SemEspaamento"/>
        <w:spacing w:line="276" w:lineRule="auto"/>
        <w:jc w:val="both"/>
        <w:rPr>
          <w:rFonts w:ascii="Times New Roman" w:hAnsi="Times New Roman" w:cs="Times New Roman"/>
          <w:sz w:val="23"/>
          <w:szCs w:val="23"/>
        </w:rPr>
      </w:pPr>
    </w:p>
    <w:p w:rsidR="00487662" w:rsidRPr="003C5778" w:rsidRDefault="00487662" w:rsidP="00E036E7">
      <w:pPr>
        <w:pStyle w:val="SemEspaamento"/>
        <w:spacing w:line="276" w:lineRule="auto"/>
        <w:jc w:val="center"/>
        <w:rPr>
          <w:rFonts w:ascii="Times New Roman" w:hAnsi="Times New Roman" w:cs="Times New Roman"/>
          <w:sz w:val="23"/>
          <w:szCs w:val="23"/>
        </w:rPr>
      </w:pPr>
      <w:r w:rsidRPr="003C5778">
        <w:rPr>
          <w:rFonts w:ascii="Times New Roman" w:hAnsi="Times New Roman" w:cs="Times New Roman"/>
          <w:sz w:val="23"/>
          <w:szCs w:val="23"/>
        </w:rPr>
        <w:t>Conclusão do Voto:</w:t>
      </w:r>
    </w:p>
    <w:p w:rsidR="0036296C" w:rsidRPr="003C5778" w:rsidRDefault="00487662" w:rsidP="00326AB4">
      <w:pPr>
        <w:pStyle w:val="SemEspaamento"/>
        <w:spacing w:line="276" w:lineRule="auto"/>
        <w:ind w:firstLine="2268"/>
        <w:jc w:val="both"/>
        <w:rPr>
          <w:rFonts w:ascii="Times New Roman" w:hAnsi="Times New Roman" w:cs="Times New Roman"/>
          <w:sz w:val="23"/>
          <w:szCs w:val="23"/>
        </w:rPr>
      </w:pPr>
      <w:r w:rsidRPr="003C5778">
        <w:rPr>
          <w:rFonts w:ascii="Times New Roman" w:hAnsi="Times New Roman" w:cs="Times New Roman"/>
          <w:sz w:val="23"/>
          <w:szCs w:val="23"/>
        </w:rPr>
        <w:t xml:space="preserve">Diante dos fundamentos legais e constitucionais expostos, com fundamento </w:t>
      </w:r>
      <w:r w:rsidR="0036296C" w:rsidRPr="003C5778">
        <w:rPr>
          <w:rFonts w:ascii="Times New Roman" w:hAnsi="Times New Roman" w:cs="Times New Roman"/>
          <w:sz w:val="23"/>
          <w:szCs w:val="23"/>
        </w:rPr>
        <w:t>na Orientação Jurídica</w:t>
      </w:r>
      <w:r w:rsidRPr="003C5778">
        <w:rPr>
          <w:rFonts w:ascii="Times New Roman" w:hAnsi="Times New Roman" w:cs="Times New Roman"/>
          <w:sz w:val="23"/>
          <w:szCs w:val="23"/>
        </w:rPr>
        <w:t xml:space="preserve"> da Procuradora Geral desta Casa, esta Relatoria, depois de debate realizado na Comissão, disponibiliza o presente voto concluindo </w:t>
      </w:r>
      <w:r w:rsidR="006272BC" w:rsidRPr="003C5778">
        <w:rPr>
          <w:rFonts w:ascii="Times New Roman" w:hAnsi="Times New Roman" w:cs="Times New Roman"/>
          <w:sz w:val="23"/>
          <w:szCs w:val="23"/>
        </w:rPr>
        <w:t xml:space="preserve">que o PL </w:t>
      </w:r>
      <w:r w:rsidR="0036296C" w:rsidRPr="003C5778">
        <w:rPr>
          <w:rFonts w:ascii="Times New Roman" w:hAnsi="Times New Roman" w:cs="Times New Roman"/>
          <w:sz w:val="23"/>
          <w:szCs w:val="23"/>
        </w:rPr>
        <w:t>0</w:t>
      </w:r>
      <w:r w:rsidR="00186518">
        <w:rPr>
          <w:rFonts w:ascii="Times New Roman" w:hAnsi="Times New Roman" w:cs="Times New Roman"/>
          <w:sz w:val="23"/>
          <w:szCs w:val="23"/>
        </w:rPr>
        <w:t>3</w:t>
      </w:r>
      <w:r w:rsidR="006272BC" w:rsidRPr="003C5778">
        <w:rPr>
          <w:rFonts w:ascii="Times New Roman" w:hAnsi="Times New Roman" w:cs="Times New Roman"/>
          <w:sz w:val="23"/>
          <w:szCs w:val="23"/>
        </w:rPr>
        <w:t>/201</w:t>
      </w:r>
      <w:r w:rsidR="0036296C" w:rsidRPr="003C5778">
        <w:rPr>
          <w:rFonts w:ascii="Times New Roman" w:hAnsi="Times New Roman" w:cs="Times New Roman"/>
          <w:sz w:val="23"/>
          <w:szCs w:val="23"/>
        </w:rPr>
        <w:t>8</w:t>
      </w:r>
      <w:r w:rsidR="006272BC" w:rsidRPr="003C5778">
        <w:rPr>
          <w:rFonts w:ascii="Times New Roman" w:hAnsi="Times New Roman" w:cs="Times New Roman"/>
          <w:sz w:val="23"/>
          <w:szCs w:val="23"/>
        </w:rPr>
        <w:t xml:space="preserve"> </w:t>
      </w:r>
      <w:r w:rsidR="00B3511A" w:rsidRPr="003C5778">
        <w:rPr>
          <w:rFonts w:ascii="Times New Roman" w:hAnsi="Times New Roman" w:cs="Times New Roman"/>
          <w:sz w:val="23"/>
          <w:szCs w:val="23"/>
        </w:rPr>
        <w:t>é</w:t>
      </w:r>
      <w:r w:rsidR="00E46210" w:rsidRPr="003C5778">
        <w:rPr>
          <w:rFonts w:ascii="Times New Roman" w:hAnsi="Times New Roman" w:cs="Times New Roman"/>
          <w:sz w:val="23"/>
          <w:szCs w:val="23"/>
        </w:rPr>
        <w:t xml:space="preserve"> viável a tramitação</w:t>
      </w:r>
      <w:r w:rsidR="00762785" w:rsidRPr="003C5778">
        <w:rPr>
          <w:rFonts w:ascii="Times New Roman" w:hAnsi="Times New Roman" w:cs="Times New Roman"/>
          <w:sz w:val="23"/>
          <w:szCs w:val="23"/>
        </w:rPr>
        <w:t>.</w:t>
      </w:r>
    </w:p>
    <w:p w:rsidR="00487662" w:rsidRPr="003C5778" w:rsidRDefault="006272BC" w:rsidP="00E036E7">
      <w:pPr>
        <w:pStyle w:val="SemEspaamento"/>
        <w:spacing w:line="276" w:lineRule="auto"/>
        <w:rPr>
          <w:rFonts w:ascii="Times New Roman" w:hAnsi="Times New Roman" w:cs="Times New Roman"/>
          <w:sz w:val="23"/>
          <w:szCs w:val="23"/>
        </w:rPr>
      </w:pPr>
      <w:r w:rsidRPr="003C5778">
        <w:rPr>
          <w:rFonts w:ascii="Times New Roman" w:hAnsi="Times New Roman" w:cs="Times New Roman"/>
          <w:sz w:val="23"/>
          <w:szCs w:val="23"/>
        </w:rPr>
        <w:tab/>
      </w:r>
      <w:r w:rsidR="00326AB4">
        <w:rPr>
          <w:rFonts w:ascii="Times New Roman" w:hAnsi="Times New Roman" w:cs="Times New Roman"/>
          <w:sz w:val="23"/>
          <w:szCs w:val="23"/>
        </w:rPr>
        <w:tab/>
      </w:r>
      <w:r w:rsidR="00326AB4">
        <w:rPr>
          <w:rFonts w:ascii="Times New Roman" w:hAnsi="Times New Roman" w:cs="Times New Roman"/>
          <w:sz w:val="23"/>
          <w:szCs w:val="23"/>
        </w:rPr>
        <w:tab/>
      </w:r>
      <w:r w:rsidR="00487662" w:rsidRPr="003C5778">
        <w:rPr>
          <w:rFonts w:ascii="Times New Roman" w:hAnsi="Times New Roman" w:cs="Times New Roman"/>
          <w:sz w:val="23"/>
          <w:szCs w:val="23"/>
        </w:rPr>
        <w:t xml:space="preserve">Sala das Comissões, em </w:t>
      </w:r>
      <w:r w:rsidR="00762785" w:rsidRPr="003C5778">
        <w:rPr>
          <w:rFonts w:ascii="Times New Roman" w:hAnsi="Times New Roman" w:cs="Times New Roman"/>
          <w:sz w:val="23"/>
          <w:szCs w:val="23"/>
        </w:rPr>
        <w:t>1</w:t>
      </w:r>
      <w:r w:rsidR="003C5778" w:rsidRPr="003C5778">
        <w:rPr>
          <w:rFonts w:ascii="Times New Roman" w:hAnsi="Times New Roman" w:cs="Times New Roman"/>
          <w:sz w:val="23"/>
          <w:szCs w:val="23"/>
        </w:rPr>
        <w:t>1</w:t>
      </w:r>
      <w:r w:rsidR="00487662" w:rsidRPr="003C5778">
        <w:rPr>
          <w:rFonts w:ascii="Times New Roman" w:hAnsi="Times New Roman" w:cs="Times New Roman"/>
          <w:sz w:val="23"/>
          <w:szCs w:val="23"/>
        </w:rPr>
        <w:t xml:space="preserve"> de </w:t>
      </w:r>
      <w:r w:rsidR="00762785" w:rsidRPr="003C5778">
        <w:rPr>
          <w:rFonts w:ascii="Times New Roman" w:hAnsi="Times New Roman" w:cs="Times New Roman"/>
          <w:sz w:val="23"/>
          <w:szCs w:val="23"/>
        </w:rPr>
        <w:t>janeir</w:t>
      </w:r>
      <w:r w:rsidR="00487662" w:rsidRPr="003C5778">
        <w:rPr>
          <w:rFonts w:ascii="Times New Roman" w:hAnsi="Times New Roman" w:cs="Times New Roman"/>
          <w:sz w:val="23"/>
          <w:szCs w:val="23"/>
        </w:rPr>
        <w:t>o de 201</w:t>
      </w:r>
      <w:r w:rsidR="00762785" w:rsidRPr="003C5778">
        <w:rPr>
          <w:rFonts w:ascii="Times New Roman" w:hAnsi="Times New Roman" w:cs="Times New Roman"/>
          <w:sz w:val="23"/>
          <w:szCs w:val="23"/>
        </w:rPr>
        <w:t>8</w:t>
      </w:r>
      <w:r w:rsidR="00487662" w:rsidRPr="003C5778">
        <w:rPr>
          <w:rFonts w:ascii="Times New Roman" w:hAnsi="Times New Roman" w:cs="Times New Roman"/>
          <w:sz w:val="23"/>
          <w:szCs w:val="23"/>
        </w:rPr>
        <w:t>.</w:t>
      </w:r>
    </w:p>
    <w:p w:rsidR="00DB6013" w:rsidRDefault="00DB6013" w:rsidP="00E036E7">
      <w:pPr>
        <w:pStyle w:val="SemEspaamento"/>
        <w:spacing w:line="276" w:lineRule="auto"/>
        <w:rPr>
          <w:rFonts w:ascii="Times New Roman" w:hAnsi="Times New Roman" w:cs="Times New Roman"/>
          <w:sz w:val="23"/>
          <w:szCs w:val="23"/>
        </w:rPr>
      </w:pPr>
    </w:p>
    <w:p w:rsidR="003C5778" w:rsidRPr="003C5778" w:rsidRDefault="003C5778" w:rsidP="00E036E7">
      <w:pPr>
        <w:pStyle w:val="SemEspaamento"/>
        <w:spacing w:line="276" w:lineRule="auto"/>
        <w:rPr>
          <w:rFonts w:ascii="Times New Roman" w:hAnsi="Times New Roman" w:cs="Times New Roman"/>
          <w:sz w:val="23"/>
          <w:szCs w:val="23"/>
        </w:rPr>
      </w:pPr>
    </w:p>
    <w:p w:rsidR="00487662" w:rsidRPr="003C5778" w:rsidRDefault="00487662" w:rsidP="003C5778">
      <w:pPr>
        <w:pStyle w:val="SemEspaamento"/>
        <w:spacing w:line="276" w:lineRule="auto"/>
        <w:jc w:val="center"/>
        <w:rPr>
          <w:rFonts w:ascii="Times New Roman" w:hAnsi="Times New Roman" w:cs="Times New Roman"/>
          <w:sz w:val="23"/>
          <w:szCs w:val="23"/>
        </w:rPr>
      </w:pPr>
      <w:r w:rsidRPr="003C5778">
        <w:rPr>
          <w:rFonts w:ascii="Times New Roman" w:hAnsi="Times New Roman" w:cs="Times New Roman"/>
          <w:sz w:val="23"/>
          <w:szCs w:val="23"/>
        </w:rPr>
        <w:t>Vereador Relator</w:t>
      </w:r>
    </w:p>
    <w:p w:rsidR="003C5778" w:rsidRPr="003C5778" w:rsidRDefault="003C5778" w:rsidP="003C5778">
      <w:pPr>
        <w:pStyle w:val="SemEspaamento"/>
        <w:spacing w:line="276" w:lineRule="auto"/>
        <w:jc w:val="center"/>
        <w:rPr>
          <w:rFonts w:ascii="Times New Roman" w:hAnsi="Times New Roman" w:cs="Times New Roman"/>
          <w:sz w:val="23"/>
          <w:szCs w:val="23"/>
        </w:rPr>
      </w:pPr>
      <w:proofErr w:type="spellStart"/>
      <w:r w:rsidRPr="003C5778">
        <w:rPr>
          <w:rFonts w:ascii="Times New Roman" w:hAnsi="Times New Roman" w:cs="Times New Roman"/>
          <w:sz w:val="23"/>
          <w:szCs w:val="23"/>
        </w:rPr>
        <w:t>Luia</w:t>
      </w:r>
      <w:proofErr w:type="spellEnd"/>
      <w:r w:rsidRPr="003C5778">
        <w:rPr>
          <w:rFonts w:ascii="Times New Roman" w:hAnsi="Times New Roman" w:cs="Times New Roman"/>
          <w:sz w:val="23"/>
          <w:szCs w:val="23"/>
        </w:rPr>
        <w:t xml:space="preserve"> </w:t>
      </w:r>
      <w:proofErr w:type="spellStart"/>
      <w:r w:rsidRPr="003C5778">
        <w:rPr>
          <w:rFonts w:ascii="Times New Roman" w:hAnsi="Times New Roman" w:cs="Times New Roman"/>
          <w:sz w:val="23"/>
          <w:szCs w:val="23"/>
        </w:rPr>
        <w:t>Barbacovi</w:t>
      </w:r>
      <w:proofErr w:type="spellEnd"/>
    </w:p>
    <w:p w:rsidR="003C5778" w:rsidRPr="003C5778" w:rsidRDefault="003C5778" w:rsidP="003C5778">
      <w:pPr>
        <w:pStyle w:val="SemEspaamento"/>
        <w:spacing w:line="276" w:lineRule="auto"/>
        <w:jc w:val="center"/>
        <w:rPr>
          <w:rFonts w:ascii="Times New Roman" w:hAnsi="Times New Roman" w:cs="Times New Roman"/>
          <w:sz w:val="23"/>
          <w:szCs w:val="23"/>
        </w:rPr>
      </w:pPr>
    </w:p>
    <w:p w:rsidR="00487662" w:rsidRPr="003C5778" w:rsidRDefault="00487662" w:rsidP="003C5778">
      <w:pPr>
        <w:pStyle w:val="SemEspaamento"/>
        <w:spacing w:line="276" w:lineRule="auto"/>
        <w:jc w:val="center"/>
        <w:rPr>
          <w:rFonts w:ascii="Times New Roman" w:hAnsi="Times New Roman" w:cs="Times New Roman"/>
          <w:sz w:val="23"/>
          <w:szCs w:val="23"/>
        </w:rPr>
      </w:pPr>
      <w:r w:rsidRPr="003C5778">
        <w:rPr>
          <w:rFonts w:ascii="Times New Roman" w:hAnsi="Times New Roman" w:cs="Times New Roman"/>
          <w:sz w:val="23"/>
          <w:szCs w:val="23"/>
        </w:rPr>
        <w:t>Acompanhando o voto d</w:t>
      </w:r>
      <w:r w:rsidR="00762785" w:rsidRPr="003C5778">
        <w:rPr>
          <w:rFonts w:ascii="Times New Roman" w:hAnsi="Times New Roman" w:cs="Times New Roman"/>
          <w:sz w:val="23"/>
          <w:szCs w:val="23"/>
        </w:rPr>
        <w:t>o</w:t>
      </w:r>
      <w:r w:rsidRPr="003C5778">
        <w:rPr>
          <w:rFonts w:ascii="Times New Roman" w:hAnsi="Times New Roman" w:cs="Times New Roman"/>
          <w:sz w:val="23"/>
          <w:szCs w:val="23"/>
        </w:rPr>
        <w:t xml:space="preserve"> relator:</w:t>
      </w:r>
    </w:p>
    <w:p w:rsidR="00487662" w:rsidRDefault="00487662" w:rsidP="003C5778">
      <w:pPr>
        <w:pStyle w:val="SemEspaamento"/>
        <w:spacing w:line="276" w:lineRule="auto"/>
        <w:jc w:val="center"/>
        <w:rPr>
          <w:rFonts w:ascii="Times New Roman" w:hAnsi="Times New Roman" w:cs="Times New Roman"/>
          <w:sz w:val="23"/>
          <w:szCs w:val="23"/>
        </w:rPr>
      </w:pPr>
    </w:p>
    <w:p w:rsidR="003C5778" w:rsidRPr="003C5778" w:rsidRDefault="003C5778" w:rsidP="003C5778">
      <w:pPr>
        <w:pStyle w:val="SemEspaamento"/>
        <w:spacing w:line="276" w:lineRule="auto"/>
        <w:jc w:val="center"/>
        <w:rPr>
          <w:rFonts w:ascii="Times New Roman" w:hAnsi="Times New Roman" w:cs="Times New Roman"/>
          <w:sz w:val="23"/>
          <w:szCs w:val="23"/>
        </w:rPr>
      </w:pPr>
    </w:p>
    <w:p w:rsidR="00487662" w:rsidRPr="003C5778" w:rsidRDefault="00487662" w:rsidP="003C5778">
      <w:pPr>
        <w:pStyle w:val="SemEspaamento"/>
        <w:spacing w:line="276" w:lineRule="auto"/>
        <w:jc w:val="center"/>
        <w:rPr>
          <w:rFonts w:ascii="Times New Roman" w:hAnsi="Times New Roman" w:cs="Times New Roman"/>
          <w:sz w:val="23"/>
          <w:szCs w:val="23"/>
        </w:rPr>
      </w:pPr>
      <w:r w:rsidRPr="003C5778">
        <w:rPr>
          <w:rFonts w:ascii="Times New Roman" w:hAnsi="Times New Roman" w:cs="Times New Roman"/>
          <w:sz w:val="23"/>
          <w:szCs w:val="23"/>
        </w:rPr>
        <w:t>Vereador Presidente</w:t>
      </w:r>
    </w:p>
    <w:p w:rsidR="00487662" w:rsidRPr="003C5778" w:rsidRDefault="003C5778" w:rsidP="003C5778">
      <w:pPr>
        <w:pStyle w:val="SemEspaamento"/>
        <w:spacing w:line="276" w:lineRule="auto"/>
        <w:jc w:val="center"/>
        <w:rPr>
          <w:rFonts w:ascii="Times New Roman" w:hAnsi="Times New Roman" w:cs="Times New Roman"/>
          <w:sz w:val="23"/>
          <w:szCs w:val="23"/>
        </w:rPr>
      </w:pPr>
      <w:r w:rsidRPr="003C5778">
        <w:rPr>
          <w:rFonts w:ascii="Times New Roman" w:hAnsi="Times New Roman" w:cs="Times New Roman"/>
          <w:sz w:val="23"/>
          <w:szCs w:val="23"/>
        </w:rPr>
        <w:t>Volnei da Saúde</w:t>
      </w:r>
    </w:p>
    <w:p w:rsidR="003C5778" w:rsidRDefault="003C5778" w:rsidP="003C5778">
      <w:pPr>
        <w:pStyle w:val="SemEspaamento"/>
        <w:spacing w:line="276" w:lineRule="auto"/>
        <w:jc w:val="center"/>
        <w:rPr>
          <w:rFonts w:ascii="Times New Roman" w:hAnsi="Times New Roman" w:cs="Times New Roman"/>
          <w:sz w:val="23"/>
          <w:szCs w:val="23"/>
        </w:rPr>
      </w:pPr>
    </w:p>
    <w:p w:rsidR="003C5778" w:rsidRPr="003C5778" w:rsidRDefault="003C5778" w:rsidP="003C5778">
      <w:pPr>
        <w:pStyle w:val="SemEspaamento"/>
        <w:spacing w:line="276" w:lineRule="auto"/>
        <w:jc w:val="center"/>
        <w:rPr>
          <w:rFonts w:ascii="Times New Roman" w:hAnsi="Times New Roman" w:cs="Times New Roman"/>
          <w:sz w:val="23"/>
          <w:szCs w:val="23"/>
        </w:rPr>
      </w:pPr>
    </w:p>
    <w:p w:rsidR="00487662" w:rsidRPr="003C5778" w:rsidRDefault="00487662" w:rsidP="003C5778">
      <w:pPr>
        <w:pStyle w:val="SemEspaamento"/>
        <w:spacing w:line="276" w:lineRule="auto"/>
        <w:jc w:val="center"/>
        <w:rPr>
          <w:rFonts w:ascii="Times New Roman" w:hAnsi="Times New Roman" w:cs="Times New Roman"/>
          <w:sz w:val="23"/>
          <w:szCs w:val="23"/>
        </w:rPr>
      </w:pPr>
      <w:r w:rsidRPr="003C5778">
        <w:rPr>
          <w:rFonts w:ascii="Times New Roman" w:hAnsi="Times New Roman" w:cs="Times New Roman"/>
          <w:sz w:val="23"/>
          <w:szCs w:val="23"/>
        </w:rPr>
        <w:t>Vereador Vice-Presidente</w:t>
      </w:r>
    </w:p>
    <w:p w:rsidR="003C5778" w:rsidRPr="003C5778" w:rsidRDefault="003C5778" w:rsidP="003C5778">
      <w:pPr>
        <w:pStyle w:val="SemEspaamento"/>
        <w:spacing w:line="276" w:lineRule="auto"/>
        <w:jc w:val="center"/>
        <w:rPr>
          <w:rFonts w:ascii="Times New Roman" w:hAnsi="Times New Roman" w:cs="Times New Roman"/>
          <w:sz w:val="23"/>
          <w:szCs w:val="23"/>
        </w:rPr>
      </w:pPr>
      <w:r w:rsidRPr="003C5778">
        <w:rPr>
          <w:rFonts w:ascii="Times New Roman" w:hAnsi="Times New Roman" w:cs="Times New Roman"/>
          <w:sz w:val="23"/>
          <w:szCs w:val="23"/>
        </w:rPr>
        <w:t xml:space="preserve">Everton </w:t>
      </w:r>
      <w:proofErr w:type="spellStart"/>
      <w:r w:rsidRPr="003C5778">
        <w:rPr>
          <w:rFonts w:ascii="Times New Roman" w:hAnsi="Times New Roman" w:cs="Times New Roman"/>
          <w:sz w:val="23"/>
          <w:szCs w:val="23"/>
        </w:rPr>
        <w:t>Michelsen</w:t>
      </w:r>
      <w:proofErr w:type="spellEnd"/>
    </w:p>
    <w:sectPr w:rsidR="003C5778" w:rsidRPr="003C5778"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C9A" w:rsidRDefault="006F1C9A" w:rsidP="00B17B53">
      <w:pPr>
        <w:spacing w:after="0" w:line="240" w:lineRule="auto"/>
      </w:pPr>
      <w:r>
        <w:separator/>
      </w:r>
    </w:p>
  </w:endnote>
  <w:endnote w:type="continuationSeparator" w:id="0">
    <w:p w:rsidR="006F1C9A" w:rsidRDefault="006F1C9A"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C9A" w:rsidRDefault="006F1C9A" w:rsidP="00B17B53">
      <w:pPr>
        <w:spacing w:after="0" w:line="240" w:lineRule="auto"/>
      </w:pPr>
      <w:r>
        <w:separator/>
      </w:r>
    </w:p>
  </w:footnote>
  <w:footnote w:type="continuationSeparator" w:id="0">
    <w:p w:rsidR="006F1C9A" w:rsidRDefault="006F1C9A"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4CCA"/>
    <w:rsid w:val="000C6254"/>
    <w:rsid w:val="000D06C5"/>
    <w:rsid w:val="000D335C"/>
    <w:rsid w:val="000D4018"/>
    <w:rsid w:val="000E2A67"/>
    <w:rsid w:val="00100977"/>
    <w:rsid w:val="001074F4"/>
    <w:rsid w:val="00110704"/>
    <w:rsid w:val="00115289"/>
    <w:rsid w:val="00134023"/>
    <w:rsid w:val="00134D6D"/>
    <w:rsid w:val="0015079A"/>
    <w:rsid w:val="00151B56"/>
    <w:rsid w:val="00155B6F"/>
    <w:rsid w:val="00156846"/>
    <w:rsid w:val="00162842"/>
    <w:rsid w:val="0016653E"/>
    <w:rsid w:val="00172788"/>
    <w:rsid w:val="00186518"/>
    <w:rsid w:val="0019689E"/>
    <w:rsid w:val="001A3C3B"/>
    <w:rsid w:val="001C17AB"/>
    <w:rsid w:val="001C2A51"/>
    <w:rsid w:val="001C34C8"/>
    <w:rsid w:val="001C7223"/>
    <w:rsid w:val="001D1B0F"/>
    <w:rsid w:val="001D5916"/>
    <w:rsid w:val="001D7159"/>
    <w:rsid w:val="001E6671"/>
    <w:rsid w:val="0021429D"/>
    <w:rsid w:val="002201ED"/>
    <w:rsid w:val="00235B63"/>
    <w:rsid w:val="00240183"/>
    <w:rsid w:val="00265AA6"/>
    <w:rsid w:val="00271DF1"/>
    <w:rsid w:val="002A1785"/>
    <w:rsid w:val="002C01A4"/>
    <w:rsid w:val="002C4E64"/>
    <w:rsid w:val="002E5DCE"/>
    <w:rsid w:val="00304269"/>
    <w:rsid w:val="00315B62"/>
    <w:rsid w:val="00321B5E"/>
    <w:rsid w:val="00326AB4"/>
    <w:rsid w:val="003310D1"/>
    <w:rsid w:val="00340388"/>
    <w:rsid w:val="00347737"/>
    <w:rsid w:val="00354D85"/>
    <w:rsid w:val="00356634"/>
    <w:rsid w:val="00356AA3"/>
    <w:rsid w:val="0036296C"/>
    <w:rsid w:val="0036477C"/>
    <w:rsid w:val="00364DB0"/>
    <w:rsid w:val="003654D7"/>
    <w:rsid w:val="0037028D"/>
    <w:rsid w:val="00375DA8"/>
    <w:rsid w:val="0039375A"/>
    <w:rsid w:val="00397E26"/>
    <w:rsid w:val="003A4237"/>
    <w:rsid w:val="003B58E3"/>
    <w:rsid w:val="003B7E58"/>
    <w:rsid w:val="003C2160"/>
    <w:rsid w:val="003C2C8D"/>
    <w:rsid w:val="003C3380"/>
    <w:rsid w:val="003C5778"/>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DD3"/>
    <w:rsid w:val="004F0611"/>
    <w:rsid w:val="004F60CE"/>
    <w:rsid w:val="005004AC"/>
    <w:rsid w:val="005065DA"/>
    <w:rsid w:val="00516FBB"/>
    <w:rsid w:val="00524086"/>
    <w:rsid w:val="005268BE"/>
    <w:rsid w:val="0053678C"/>
    <w:rsid w:val="005571F7"/>
    <w:rsid w:val="00575776"/>
    <w:rsid w:val="00582E39"/>
    <w:rsid w:val="005902D3"/>
    <w:rsid w:val="005A392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7136B"/>
    <w:rsid w:val="00671E97"/>
    <w:rsid w:val="00691649"/>
    <w:rsid w:val="00693C31"/>
    <w:rsid w:val="006B43A6"/>
    <w:rsid w:val="006C4A65"/>
    <w:rsid w:val="006D418B"/>
    <w:rsid w:val="006D47C3"/>
    <w:rsid w:val="006E2BE0"/>
    <w:rsid w:val="006F00FC"/>
    <w:rsid w:val="006F0DF7"/>
    <w:rsid w:val="006F1C9A"/>
    <w:rsid w:val="006F502F"/>
    <w:rsid w:val="006F6387"/>
    <w:rsid w:val="006F7C9C"/>
    <w:rsid w:val="007074CF"/>
    <w:rsid w:val="00717795"/>
    <w:rsid w:val="00726B36"/>
    <w:rsid w:val="007273BE"/>
    <w:rsid w:val="00731790"/>
    <w:rsid w:val="0074519A"/>
    <w:rsid w:val="007508CA"/>
    <w:rsid w:val="007549D0"/>
    <w:rsid w:val="007549D6"/>
    <w:rsid w:val="00762785"/>
    <w:rsid w:val="00772641"/>
    <w:rsid w:val="00772991"/>
    <w:rsid w:val="00773C2A"/>
    <w:rsid w:val="00775507"/>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750C"/>
    <w:rsid w:val="008B0C42"/>
    <w:rsid w:val="008B4469"/>
    <w:rsid w:val="008C01C7"/>
    <w:rsid w:val="008C22A6"/>
    <w:rsid w:val="008D2E64"/>
    <w:rsid w:val="008D4652"/>
    <w:rsid w:val="008D671D"/>
    <w:rsid w:val="008E31B9"/>
    <w:rsid w:val="008F32DC"/>
    <w:rsid w:val="008F7957"/>
    <w:rsid w:val="00900575"/>
    <w:rsid w:val="00905942"/>
    <w:rsid w:val="00916A40"/>
    <w:rsid w:val="00920430"/>
    <w:rsid w:val="00932E95"/>
    <w:rsid w:val="00933774"/>
    <w:rsid w:val="00933E5A"/>
    <w:rsid w:val="009373E8"/>
    <w:rsid w:val="00943925"/>
    <w:rsid w:val="00945444"/>
    <w:rsid w:val="00950C3C"/>
    <w:rsid w:val="00962126"/>
    <w:rsid w:val="00972F24"/>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5180"/>
    <w:rsid w:val="00A70B89"/>
    <w:rsid w:val="00A80EC9"/>
    <w:rsid w:val="00A84864"/>
    <w:rsid w:val="00A95A5F"/>
    <w:rsid w:val="00AA0455"/>
    <w:rsid w:val="00AB1EB9"/>
    <w:rsid w:val="00AC1EE0"/>
    <w:rsid w:val="00AC2722"/>
    <w:rsid w:val="00AC6AB3"/>
    <w:rsid w:val="00AD1C96"/>
    <w:rsid w:val="00AE58BC"/>
    <w:rsid w:val="00AF5697"/>
    <w:rsid w:val="00AF7B41"/>
    <w:rsid w:val="00B05DA2"/>
    <w:rsid w:val="00B17B53"/>
    <w:rsid w:val="00B2214E"/>
    <w:rsid w:val="00B23AE5"/>
    <w:rsid w:val="00B273CD"/>
    <w:rsid w:val="00B3151B"/>
    <w:rsid w:val="00B3511A"/>
    <w:rsid w:val="00B368F7"/>
    <w:rsid w:val="00B45455"/>
    <w:rsid w:val="00B46249"/>
    <w:rsid w:val="00B54735"/>
    <w:rsid w:val="00B564B1"/>
    <w:rsid w:val="00B77655"/>
    <w:rsid w:val="00BA1344"/>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51D67"/>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CF5E94"/>
    <w:rsid w:val="00D03E02"/>
    <w:rsid w:val="00D21214"/>
    <w:rsid w:val="00D242B5"/>
    <w:rsid w:val="00D33E26"/>
    <w:rsid w:val="00D41EB7"/>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036E7"/>
    <w:rsid w:val="00E105EA"/>
    <w:rsid w:val="00E11ACD"/>
    <w:rsid w:val="00E249A3"/>
    <w:rsid w:val="00E26635"/>
    <w:rsid w:val="00E37388"/>
    <w:rsid w:val="00E46210"/>
    <w:rsid w:val="00E53DAA"/>
    <w:rsid w:val="00E55917"/>
    <w:rsid w:val="00E623AB"/>
    <w:rsid w:val="00E647DF"/>
    <w:rsid w:val="00E9296F"/>
    <w:rsid w:val="00E9343F"/>
    <w:rsid w:val="00E939C7"/>
    <w:rsid w:val="00E97F24"/>
    <w:rsid w:val="00EA3A4E"/>
    <w:rsid w:val="00EA6C3E"/>
    <w:rsid w:val="00EB1C01"/>
    <w:rsid w:val="00EB6FAF"/>
    <w:rsid w:val="00EC080F"/>
    <w:rsid w:val="00EC55CA"/>
    <w:rsid w:val="00EE415C"/>
    <w:rsid w:val="00EF7806"/>
    <w:rsid w:val="00F1073F"/>
    <w:rsid w:val="00F2289D"/>
    <w:rsid w:val="00F438A0"/>
    <w:rsid w:val="00F46809"/>
    <w:rsid w:val="00F46A58"/>
    <w:rsid w:val="00F527C6"/>
    <w:rsid w:val="00F56A49"/>
    <w:rsid w:val="00F60212"/>
    <w:rsid w:val="00F751A1"/>
    <w:rsid w:val="00F90F2F"/>
    <w:rsid w:val="00F94069"/>
    <w:rsid w:val="00F95147"/>
    <w:rsid w:val="00F95197"/>
    <w:rsid w:val="00F97602"/>
    <w:rsid w:val="00FA1DF7"/>
    <w:rsid w:val="00FC3928"/>
    <w:rsid w:val="00FC513B"/>
    <w:rsid w:val="00FD395D"/>
    <w:rsid w:val="00FD4435"/>
    <w:rsid w:val="00FD773B"/>
    <w:rsid w:val="00FE5408"/>
    <w:rsid w:val="00FF2F2E"/>
    <w:rsid w:val="00FF4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FDC9D01"/>
  <w15:docId w15:val="{4A0EB6DC-8A13-45AA-838C-9F739CDF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DF58A-85BF-4EFD-B983-65B7F50C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1337</Words>
  <Characters>7221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cp:lastModifiedBy>
  <cp:revision>5</cp:revision>
  <cp:lastPrinted>2018-01-12T10:42:00Z</cp:lastPrinted>
  <dcterms:created xsi:type="dcterms:W3CDTF">2018-01-12T10:44:00Z</dcterms:created>
  <dcterms:modified xsi:type="dcterms:W3CDTF">2018-01-12T11:05:00Z</dcterms:modified>
</cp:coreProperties>
</file>