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COMISSÃO DE </w:t>
      </w:r>
      <w:r w:rsidR="006F00FC" w:rsidRPr="00C811EB">
        <w:rPr>
          <w:rFonts w:ascii="Times New Roman" w:eastAsia="Calibri" w:hAnsi="Times New Roman" w:cs="Times New Roman"/>
          <w:b/>
          <w:sz w:val="24"/>
          <w:szCs w:val="24"/>
        </w:rPr>
        <w:t>LEGISLAÇÃO</w:t>
      </w: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 E REDAÇÃO</w:t>
      </w:r>
      <w:r w:rsidR="006F00FC"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 FINAL</w:t>
      </w: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Parecer: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0</w:t>
      </w:r>
      <w:r w:rsidR="00F13006">
        <w:rPr>
          <w:rFonts w:ascii="Times New Roman" w:eastAsia="Calibri" w:hAnsi="Times New Roman" w:cs="Times New Roman"/>
          <w:sz w:val="24"/>
          <w:szCs w:val="24"/>
        </w:rPr>
        <w:t>3</w:t>
      </w:r>
      <w:r w:rsidRPr="00C811EB">
        <w:rPr>
          <w:rFonts w:ascii="Times New Roman" w:eastAsia="Calibri" w:hAnsi="Times New Roman" w:cs="Times New Roman"/>
          <w:sz w:val="24"/>
          <w:szCs w:val="24"/>
        </w:rPr>
        <w:t>/201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87662" w:rsidRPr="00C811EB" w:rsidRDefault="00487662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Data: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1</w:t>
      </w:r>
      <w:r w:rsidR="00F06A65">
        <w:rPr>
          <w:rFonts w:ascii="Times New Roman" w:eastAsia="Calibri" w:hAnsi="Times New Roman" w:cs="Times New Roman"/>
          <w:sz w:val="24"/>
          <w:szCs w:val="24"/>
        </w:rPr>
        <w:t>1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janei</w:t>
      </w:r>
      <w:r w:rsidRPr="00C811EB">
        <w:rPr>
          <w:rFonts w:ascii="Times New Roman" w:eastAsia="Calibri" w:hAnsi="Times New Roman" w:cs="Times New Roman"/>
          <w:sz w:val="24"/>
          <w:szCs w:val="24"/>
        </w:rPr>
        <w:t>ro de 201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8</w:t>
      </w:r>
      <w:bookmarkStart w:id="0" w:name="_GoBack"/>
      <w:bookmarkEnd w:id="0"/>
    </w:p>
    <w:p w:rsidR="00487662" w:rsidRPr="00C811EB" w:rsidRDefault="00487662" w:rsidP="00C811EB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Matéria: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Projeto de Lei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 xml:space="preserve">Ordinária </w:t>
      </w:r>
      <w:r w:rsidRPr="00C811EB">
        <w:rPr>
          <w:rFonts w:ascii="Times New Roman" w:eastAsia="Calibri" w:hAnsi="Times New Roman" w:cs="Times New Roman"/>
          <w:sz w:val="24"/>
          <w:szCs w:val="24"/>
        </w:rPr>
        <w:t>nº 0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0</w:t>
      </w:r>
      <w:r w:rsidR="00F13006">
        <w:rPr>
          <w:rFonts w:ascii="Times New Roman" w:eastAsia="Calibri" w:hAnsi="Times New Roman" w:cs="Times New Roman"/>
          <w:sz w:val="24"/>
          <w:szCs w:val="24"/>
        </w:rPr>
        <w:t>5</w:t>
      </w:r>
      <w:r w:rsidRPr="00C811EB">
        <w:rPr>
          <w:rFonts w:ascii="Times New Roman" w:eastAsia="Calibri" w:hAnsi="Times New Roman" w:cs="Times New Roman"/>
          <w:sz w:val="24"/>
          <w:szCs w:val="24"/>
        </w:rPr>
        <w:t>/201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>8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11EB" w:rsidRPr="00C811EB" w:rsidRDefault="00C811EB" w:rsidP="00C811EB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C811EB">
        <w:rPr>
          <w:rFonts w:ascii="Times New Roman" w:eastAsia="Calibri" w:hAnsi="Times New Roman" w:cs="Times New Roman"/>
          <w:b/>
        </w:rPr>
        <w:t xml:space="preserve">Ementa: </w:t>
      </w:r>
      <w:r w:rsidRPr="00C811EB">
        <w:rPr>
          <w:rFonts w:ascii="Times New Roman" w:eastAsia="Calibri" w:hAnsi="Times New Roman" w:cs="Times New Roman"/>
        </w:rPr>
        <w:t>“</w:t>
      </w:r>
      <w:r w:rsidR="00F13006" w:rsidRPr="00F13006">
        <w:rPr>
          <w:rFonts w:ascii="Times New Roman" w:eastAsia="Calibri" w:hAnsi="Times New Roman" w:cs="Times New Roman"/>
        </w:rPr>
        <w:t>Altera dispositivos da Lei nº 2.927, de 22 de junho de 2011, que disciplina a organização do sistema municipal de ensino no município de Gramado e dá outras providências</w:t>
      </w:r>
      <w:r w:rsidRPr="00C811EB">
        <w:rPr>
          <w:rFonts w:ascii="Times New Roman" w:eastAsia="Calibri" w:hAnsi="Times New Roman" w:cs="Times New Roman"/>
          <w:iCs/>
        </w:rPr>
        <w:t>”.</w:t>
      </w:r>
    </w:p>
    <w:p w:rsidR="00487662" w:rsidRPr="00C811EB" w:rsidRDefault="00487662" w:rsidP="00C811EB">
      <w:pPr>
        <w:tabs>
          <w:tab w:val="left" w:pos="1418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Autor: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Poder Executivo</w:t>
      </w:r>
    </w:p>
    <w:p w:rsidR="000046B9" w:rsidRPr="00C811EB" w:rsidRDefault="00487662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Relator:</w:t>
      </w:r>
      <w:r w:rsidR="009272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272F7" w:rsidRPr="009272F7">
        <w:rPr>
          <w:rFonts w:ascii="Times New Roman" w:eastAsia="Calibri" w:hAnsi="Times New Roman" w:cs="Times New Roman"/>
          <w:sz w:val="24"/>
          <w:szCs w:val="24"/>
        </w:rPr>
        <w:t>Renan Sartori</w:t>
      </w:r>
      <w:r w:rsidR="009272F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046B9" w:rsidRPr="00C811EB" w:rsidRDefault="000046B9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Protocolo: </w:t>
      </w:r>
      <w:r w:rsidRPr="00C811EB">
        <w:rPr>
          <w:rFonts w:ascii="Times New Roman" w:eastAsia="Calibri" w:hAnsi="Times New Roman" w:cs="Times New Roman"/>
          <w:sz w:val="24"/>
          <w:szCs w:val="24"/>
        </w:rPr>
        <w:t>05/01/2018</w:t>
      </w:r>
      <w:r w:rsidR="00375DA8" w:rsidRPr="00C811EB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487662" w:rsidRPr="00C811EB" w:rsidRDefault="00487662" w:rsidP="00C811EB">
      <w:pPr>
        <w:tabs>
          <w:tab w:val="left" w:pos="1418"/>
          <w:tab w:val="left" w:pos="4253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Conclusão do Voto: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DA8" w:rsidRPr="00C811EB">
        <w:rPr>
          <w:rFonts w:ascii="Times New Roman" w:eastAsia="Calibri" w:hAnsi="Times New Roman" w:cs="Times New Roman"/>
          <w:sz w:val="24"/>
          <w:szCs w:val="24"/>
        </w:rPr>
        <w:t>favorável</w:t>
      </w:r>
      <w:r w:rsidR="007549D6" w:rsidRPr="00C811EB">
        <w:rPr>
          <w:rFonts w:ascii="Times New Roman" w:eastAsia="Calibri" w:hAnsi="Times New Roman" w:cs="Times New Roman"/>
          <w:sz w:val="24"/>
          <w:szCs w:val="24"/>
        </w:rPr>
        <w:t xml:space="preserve"> à tramitação da matéria</w:t>
      </w: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Relatório:</w:t>
      </w:r>
    </w:p>
    <w:p w:rsidR="0066586F" w:rsidRDefault="00487662" w:rsidP="0066586F">
      <w:pPr>
        <w:tabs>
          <w:tab w:val="left" w:pos="2268"/>
          <w:tab w:val="left" w:pos="5059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ab/>
        <w:t xml:space="preserve">O Projeto de Lei em análise foi apresentado nesta Casa Legislativa no dia 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>05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>jan</w:t>
      </w:r>
      <w:r w:rsidR="008F7957" w:rsidRPr="00C811EB">
        <w:rPr>
          <w:rFonts w:ascii="Times New Roman" w:eastAsia="Calibri" w:hAnsi="Times New Roman" w:cs="Times New Roman"/>
          <w:sz w:val="24"/>
          <w:szCs w:val="24"/>
        </w:rPr>
        <w:t>e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>iro de 2018</w:t>
      </w:r>
      <w:r w:rsidRPr="00C811EB">
        <w:rPr>
          <w:rFonts w:ascii="Times New Roman" w:eastAsia="Calibri" w:hAnsi="Times New Roman" w:cs="Times New Roman"/>
          <w:sz w:val="24"/>
          <w:szCs w:val="24"/>
        </w:rPr>
        <w:t>,</w:t>
      </w:r>
      <w:r w:rsidR="008F7957" w:rsidRPr="00C811EB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="0098342C" w:rsidRPr="00C811EB">
        <w:rPr>
          <w:rFonts w:ascii="Times New Roman" w:eastAsia="Calibri" w:hAnsi="Times New Roman" w:cs="Times New Roman"/>
          <w:sz w:val="24"/>
          <w:szCs w:val="24"/>
        </w:rPr>
        <w:t xml:space="preserve"> requer autorização legislativa para </w:t>
      </w:r>
      <w:r w:rsidR="00C61310" w:rsidRPr="00C811EB">
        <w:rPr>
          <w:rFonts w:ascii="Times New Roman" w:eastAsia="Calibri" w:hAnsi="Times New Roman" w:cs="Times New Roman"/>
          <w:sz w:val="24"/>
          <w:szCs w:val="24"/>
        </w:rPr>
        <w:t xml:space="preserve">alterar </w:t>
      </w:r>
      <w:r w:rsidR="00F13006" w:rsidRPr="00F13006">
        <w:rPr>
          <w:rFonts w:ascii="Times New Roman" w:eastAsia="Calibri" w:hAnsi="Times New Roman" w:cs="Times New Roman"/>
          <w:sz w:val="24"/>
          <w:szCs w:val="24"/>
        </w:rPr>
        <w:t>dispositivos da Lei nº 2.927, de 22 de junho de 2011, que disciplina a organização do sistema municipal de ensino no município de Gramado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>, para</w:t>
      </w:r>
      <w:r w:rsidR="0066586F">
        <w:rPr>
          <w:rFonts w:ascii="Times New Roman" w:eastAsia="Calibri" w:hAnsi="Times New Roman" w:cs="Times New Roman"/>
          <w:sz w:val="24"/>
          <w:szCs w:val="24"/>
        </w:rPr>
        <w:t xml:space="preserve"> em suma, </w:t>
      </w:r>
      <w:r w:rsidR="003C3380"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3006">
        <w:rPr>
          <w:rFonts w:ascii="Times New Roman" w:eastAsia="Calibri" w:hAnsi="Times New Roman" w:cs="Times New Roman"/>
          <w:sz w:val="24"/>
          <w:szCs w:val="24"/>
        </w:rPr>
        <w:t xml:space="preserve">ampliar a participação </w:t>
      </w:r>
      <w:r w:rsidR="0066586F">
        <w:rPr>
          <w:rFonts w:ascii="Times New Roman" w:eastAsia="Calibri" w:hAnsi="Times New Roman" w:cs="Times New Roman"/>
          <w:sz w:val="24"/>
          <w:szCs w:val="24"/>
        </w:rPr>
        <w:t>da comunidade escolar e dos pais no processo eleitoral de escolha dos Diretores das Escolas Municipais de Gramado, alterar a vigência do mandato da Direção dos Educandários, que passaria dos atuais 04 (quatro) anos para 02 (dois) anos, permitida uma reeleição dos atuais diretores</w:t>
      </w:r>
      <w:r w:rsidR="003654D7" w:rsidRPr="00C811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6586F" w:rsidRPr="0066586F">
        <w:rPr>
          <w:rFonts w:ascii="Times New Roman" w:eastAsia="Calibri" w:hAnsi="Times New Roman" w:cs="Times New Roman"/>
          <w:sz w:val="24"/>
          <w:szCs w:val="24"/>
        </w:rPr>
        <w:t>Na justifica, aduz o Poder Executivo que, a Administração Municipal 2017/2020 objetiva ampliar a participação da comunidade escolar no processo eleitoral da escolha dos Diretores das Escolas Municipais de Gramado, alterando a vigência do mandato da direção dos educandários, que passam dos atuais 4</w:t>
      </w:r>
      <w:r w:rsidR="00665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86F" w:rsidRPr="0066586F">
        <w:rPr>
          <w:rFonts w:ascii="Times New Roman" w:eastAsia="Calibri" w:hAnsi="Times New Roman" w:cs="Times New Roman"/>
          <w:sz w:val="24"/>
          <w:szCs w:val="24"/>
        </w:rPr>
        <w:t>(quatro) anos para 2</w:t>
      </w:r>
      <w:r w:rsidR="00665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86F" w:rsidRPr="0066586F">
        <w:rPr>
          <w:rFonts w:ascii="Times New Roman" w:eastAsia="Calibri" w:hAnsi="Times New Roman" w:cs="Times New Roman"/>
          <w:sz w:val="24"/>
          <w:szCs w:val="24"/>
        </w:rPr>
        <w:t>(dois) anos, permitida uma reeleição para o período subsequente. Também informa que haverá a participação dos pais na eleição indireta, que no atual modelo não participam da escolha. Outra alteração proposta é para o processo democrático ocorrer em escolas com mais de 50</w:t>
      </w:r>
      <w:r w:rsidR="00665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86F" w:rsidRPr="0066586F">
        <w:rPr>
          <w:rFonts w:ascii="Times New Roman" w:eastAsia="Calibri" w:hAnsi="Times New Roman" w:cs="Times New Roman"/>
          <w:sz w:val="24"/>
          <w:szCs w:val="24"/>
        </w:rPr>
        <w:t>(cinquenta) alunos, quando atualmente só ocorria em escolas com mais de 100</w:t>
      </w:r>
      <w:r w:rsidR="006658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586F" w:rsidRPr="0066586F">
        <w:rPr>
          <w:rFonts w:ascii="Times New Roman" w:eastAsia="Calibri" w:hAnsi="Times New Roman" w:cs="Times New Roman"/>
          <w:sz w:val="24"/>
          <w:szCs w:val="24"/>
        </w:rPr>
        <w:t xml:space="preserve">(cem) alunos, permitindo assim que somente nas escolas rurais, que tem menos alunos, aconteça a indicação direta pelo chefe do Poder Executivo, justificando que nas demais sempre haverá a consulta a comunidade escolar para a formação da lista tríplice. Refere, por conseguinte, que na forma apresentada o processo de escolha dos Diretores permanecerá o mesmo utilizado </w:t>
      </w:r>
      <w:r w:rsidR="0066586F" w:rsidRPr="0066586F">
        <w:rPr>
          <w:rFonts w:ascii="Times New Roman" w:eastAsia="Calibri" w:hAnsi="Times New Roman" w:cs="Times New Roman"/>
          <w:sz w:val="24"/>
          <w:szCs w:val="24"/>
        </w:rPr>
        <w:lastRenderedPageBreak/>
        <w:t>em 2014, ou seja, mediante eleição indireta com a elaboração da lista tríplice e a escolha final pelo Chefe do Poder Executivo. Por fim, que a presente propositura considera o cumprimento da meta 19 – Gestão Democrática – do Plano Municipal da Educação (Lei nº 3.406/2015), que visa como estratégia a consulta para indicação de diretores e autonomia das escolas, e que os requisitos e critérios técnicos do processo eleitoral serão regulamentados por Decreto.</w:t>
      </w:r>
    </w:p>
    <w:p w:rsidR="00487662" w:rsidRPr="00C811EB" w:rsidRDefault="00487662" w:rsidP="00C811EB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O projeto já foi analisado pela Procuradora Geral da Casa, a qual proferiu 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Orientação Jurídica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nº 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0</w:t>
      </w:r>
      <w:r w:rsidR="0066586F">
        <w:rPr>
          <w:rFonts w:ascii="Times New Roman" w:eastAsia="Calibri" w:hAnsi="Times New Roman" w:cs="Times New Roman"/>
          <w:sz w:val="24"/>
          <w:szCs w:val="24"/>
        </w:rPr>
        <w:t>3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/2018</w:t>
      </w:r>
      <w:r w:rsidR="00375DA8" w:rsidRPr="00C811EB">
        <w:rPr>
          <w:rFonts w:ascii="Times New Roman" w:eastAsia="Calibri" w:hAnsi="Times New Roman" w:cs="Times New Roman"/>
          <w:sz w:val="24"/>
          <w:szCs w:val="24"/>
        </w:rPr>
        <w:t>,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5DA8" w:rsidRPr="00C811EB">
        <w:rPr>
          <w:rFonts w:ascii="Times New Roman" w:hAnsi="Times New Roman" w:cs="Times New Roman"/>
          <w:b/>
          <w:bCs/>
          <w:sz w:val="24"/>
          <w:szCs w:val="24"/>
        </w:rPr>
        <w:t xml:space="preserve">favorável </w:t>
      </w:r>
      <w:r w:rsidR="00375DA8" w:rsidRPr="00C811EB">
        <w:rPr>
          <w:rFonts w:ascii="Times New Roman" w:hAnsi="Times New Roman" w:cs="Times New Roman"/>
          <w:sz w:val="24"/>
          <w:szCs w:val="24"/>
        </w:rPr>
        <w:t>à tramitação</w:t>
      </w:r>
      <w:r w:rsidR="00C20D7C" w:rsidRPr="00C811EB">
        <w:rPr>
          <w:rFonts w:ascii="Times New Roman" w:hAnsi="Times New Roman" w:cs="Times New Roman"/>
          <w:sz w:val="24"/>
          <w:szCs w:val="24"/>
        </w:rPr>
        <w:t xml:space="preserve"> </w:t>
      </w:r>
      <w:r w:rsidR="00434CA9" w:rsidRPr="00C811EB">
        <w:rPr>
          <w:rFonts w:ascii="Times New Roman" w:hAnsi="Times New Roman" w:cs="Times New Roman"/>
          <w:sz w:val="24"/>
          <w:szCs w:val="24"/>
        </w:rPr>
        <w:t>d</w:t>
      </w:r>
      <w:r w:rsidR="00F527C6" w:rsidRPr="00C811EB">
        <w:rPr>
          <w:rFonts w:ascii="Times New Roman" w:hAnsi="Times New Roman" w:cs="Times New Roman"/>
          <w:sz w:val="24"/>
          <w:szCs w:val="24"/>
        </w:rPr>
        <w:t xml:space="preserve">o PL </w:t>
      </w:r>
      <w:r w:rsidR="00D56492" w:rsidRPr="00C811EB">
        <w:rPr>
          <w:rFonts w:ascii="Times New Roman" w:hAnsi="Times New Roman" w:cs="Times New Roman"/>
          <w:sz w:val="24"/>
          <w:szCs w:val="24"/>
        </w:rPr>
        <w:t>0</w:t>
      </w:r>
      <w:r w:rsidR="0066586F">
        <w:rPr>
          <w:rFonts w:ascii="Times New Roman" w:hAnsi="Times New Roman" w:cs="Times New Roman"/>
          <w:sz w:val="24"/>
          <w:szCs w:val="24"/>
        </w:rPr>
        <w:t>5</w:t>
      </w:r>
      <w:r w:rsidR="00F527C6" w:rsidRPr="00C811EB">
        <w:rPr>
          <w:rFonts w:ascii="Times New Roman" w:hAnsi="Times New Roman" w:cs="Times New Roman"/>
          <w:sz w:val="24"/>
          <w:szCs w:val="24"/>
        </w:rPr>
        <w:t>/201</w:t>
      </w:r>
      <w:r w:rsidR="00D56492" w:rsidRPr="00C811EB">
        <w:rPr>
          <w:rFonts w:ascii="Times New Roman" w:hAnsi="Times New Roman" w:cs="Times New Roman"/>
          <w:sz w:val="24"/>
          <w:szCs w:val="24"/>
        </w:rPr>
        <w:t>8</w:t>
      </w:r>
      <w:r w:rsidR="00434CA9" w:rsidRPr="00C811EB">
        <w:rPr>
          <w:rFonts w:ascii="Times New Roman" w:hAnsi="Times New Roman" w:cs="Times New Roman"/>
          <w:sz w:val="24"/>
          <w:szCs w:val="24"/>
        </w:rPr>
        <w:t>,</w:t>
      </w:r>
      <w:r w:rsidR="00F527C6" w:rsidRPr="00C811EB">
        <w:rPr>
          <w:rFonts w:ascii="Times New Roman" w:hAnsi="Times New Roman" w:cs="Times New Roman"/>
          <w:sz w:val="24"/>
          <w:szCs w:val="24"/>
        </w:rPr>
        <w:t xml:space="preserve"> </w:t>
      </w:r>
      <w:r w:rsidR="006C4A65" w:rsidRPr="00C811EB">
        <w:rPr>
          <w:rFonts w:ascii="Times New Roman" w:hAnsi="Times New Roman" w:cs="Times New Roman"/>
          <w:sz w:val="24"/>
          <w:szCs w:val="24"/>
        </w:rPr>
        <w:t>pois atende as normas legais impostas, estando presentes a legalidade e constitucionalidade</w:t>
      </w:r>
      <w:r w:rsidR="00C13059">
        <w:rPr>
          <w:rFonts w:ascii="Times New Roman" w:hAnsi="Times New Roman" w:cs="Times New Roman"/>
          <w:sz w:val="24"/>
          <w:szCs w:val="24"/>
        </w:rPr>
        <w:t>,</w:t>
      </w:r>
      <w:r w:rsidR="00C13059" w:rsidRPr="00C13059">
        <w:t xml:space="preserve"> </w:t>
      </w:r>
      <w:r w:rsidR="00C13059" w:rsidRPr="00C13059">
        <w:rPr>
          <w:rFonts w:ascii="Times New Roman" w:hAnsi="Times New Roman" w:cs="Times New Roman"/>
          <w:sz w:val="24"/>
          <w:szCs w:val="24"/>
        </w:rPr>
        <w:t>observando ajustes necessários à redação final no que se refere a citação dos parágrafos, que não respeitaram a ordem sequencial.</w:t>
      </w:r>
      <w:r w:rsidR="00375DA8" w:rsidRPr="00C811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Tal 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orientação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jurídic</w:t>
      </w:r>
      <w:r w:rsidR="00D56492" w:rsidRPr="00C811EB">
        <w:rPr>
          <w:rFonts w:ascii="Times New Roman" w:eastAsia="Calibri" w:hAnsi="Times New Roman" w:cs="Times New Roman"/>
          <w:sz w:val="24"/>
          <w:szCs w:val="24"/>
        </w:rPr>
        <w:t>a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embasa a elaboração do presente parecer.</w:t>
      </w:r>
    </w:p>
    <w:p w:rsidR="00C518D5" w:rsidRPr="00C811EB" w:rsidRDefault="00C518D5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E2A67" w:rsidRPr="00C811EB" w:rsidRDefault="00487662" w:rsidP="00C811EB">
      <w:pPr>
        <w:tabs>
          <w:tab w:val="left" w:pos="1418"/>
          <w:tab w:val="left" w:pos="5059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Análise</w:t>
      </w:r>
      <w:r w:rsidR="000E2A67"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</w:p>
    <w:p w:rsidR="000E2A67" w:rsidRPr="00C811EB" w:rsidRDefault="000E2A67" w:rsidP="00C811EB">
      <w:pPr>
        <w:tabs>
          <w:tab w:val="left" w:pos="1418"/>
          <w:tab w:val="left" w:pos="5059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 xml:space="preserve">I – Quanto à área de Legislação </w:t>
      </w:r>
    </w:p>
    <w:p w:rsidR="000E2A67" w:rsidRPr="00C811EB" w:rsidRDefault="000E2A67" w:rsidP="00C811EB">
      <w:pPr>
        <w:tabs>
          <w:tab w:val="left" w:pos="1418"/>
          <w:tab w:val="left" w:pos="5059"/>
        </w:tabs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811EB">
        <w:rPr>
          <w:rFonts w:ascii="Times New Roman" w:eastAsia="Calibri" w:hAnsi="Times New Roman" w:cs="Times New Roman"/>
          <w:b/>
          <w:sz w:val="24"/>
          <w:szCs w:val="24"/>
        </w:rPr>
        <w:t>Art. 54, I, do Regimento Interno desta Casa:</w:t>
      </w:r>
    </w:p>
    <w:p w:rsidR="000E2A67" w:rsidRPr="00C811EB" w:rsidRDefault="000E2A67" w:rsidP="00C811EB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11EB">
        <w:rPr>
          <w:rFonts w:ascii="Times New Roman" w:hAnsi="Times New Roman" w:cs="Times New Roman"/>
          <w:sz w:val="24"/>
          <w:szCs w:val="24"/>
          <w:u w:val="single"/>
        </w:rPr>
        <w:t>Da Competência e Iniciativa</w:t>
      </w:r>
    </w:p>
    <w:p w:rsidR="005065DA" w:rsidRPr="00C811EB" w:rsidRDefault="005065DA" w:rsidP="00C811EB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A6208" w:rsidRDefault="00EA6208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A6208">
        <w:rPr>
          <w:rFonts w:ascii="Times New Roman" w:hAnsi="Times New Roman" w:cs="Times New Roman"/>
          <w:sz w:val="24"/>
          <w:szCs w:val="24"/>
        </w:rPr>
        <w:t xml:space="preserve">O projeto versa sobre a organização do sistema municipal de ensino no município de Gramado. </w:t>
      </w:r>
    </w:p>
    <w:p w:rsidR="000E2A67" w:rsidRPr="00C811EB" w:rsidRDefault="000E2A67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Quanto à competência, a Lei orgânica assim estabelece: </w:t>
      </w:r>
    </w:p>
    <w:p w:rsidR="00EA6208" w:rsidRDefault="00EA6208" w:rsidP="00EA6208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EA6208">
        <w:rPr>
          <w:rFonts w:ascii="Times New Roman" w:hAnsi="Times New Roman" w:cs="Times New Roman"/>
          <w:i/>
          <w:iCs/>
          <w:szCs w:val="24"/>
        </w:rPr>
        <w:t xml:space="preserve"> “Art. 6º Compete ao Município no exercício de sua autonomia: I – organizar-se administrativamente, observadas as legislações federal e estadual; II – elaborar suas leis, expedir decretos e atos relativos aos assuntos de seu peculiar interesse; (...) XXIV – legislar sobre assuntos de interesse local; </w:t>
      </w:r>
    </w:p>
    <w:p w:rsidR="00CF630E" w:rsidRDefault="00EA6208" w:rsidP="00EA6208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EA6208">
        <w:rPr>
          <w:rFonts w:ascii="Times New Roman" w:hAnsi="Times New Roman" w:cs="Times New Roman"/>
          <w:i/>
          <w:iCs/>
          <w:szCs w:val="24"/>
        </w:rPr>
        <w:t xml:space="preserve">Art. 8º Compete, ainda, ao Município, concorrentemente com a União ou Estado, ou supletivamente a eles: (...) II – promover o ensino, a educação e a cultura; </w:t>
      </w:r>
    </w:p>
    <w:p w:rsidR="00CF630E" w:rsidRDefault="00EA6208" w:rsidP="00EA6208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EA6208">
        <w:rPr>
          <w:rFonts w:ascii="Times New Roman" w:hAnsi="Times New Roman" w:cs="Times New Roman"/>
          <w:i/>
          <w:iCs/>
          <w:szCs w:val="24"/>
        </w:rPr>
        <w:t xml:space="preserve">Art. 60 Compete privativamente ao Prefeito: VI – dispor sobre a organização e o funcionamento da administração municipal na forma da lei; (...) XXII – providenciar sobre o ensino público; </w:t>
      </w:r>
    </w:p>
    <w:p w:rsidR="006636B8" w:rsidRPr="00C811EB" w:rsidRDefault="006636B8" w:rsidP="00CF630E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>Assim, o presente PL encontra-se em conformidade com as normas legais vigentes, por ser de competência do Município normatização sobre a organização e o funcionamento da administração municipal, entre as quais a criação de cargos públicos, NÃO se registrando, desta forma, qualquer vício de origem na presente propositura, nos termos do art. 61, § 1º, II, “a”, da Constituição Federal.</w:t>
      </w:r>
    </w:p>
    <w:p w:rsidR="006636B8" w:rsidRPr="00C811EB" w:rsidRDefault="006636B8" w:rsidP="00C811EB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811EB">
        <w:rPr>
          <w:rFonts w:ascii="Times New Roman" w:hAnsi="Times New Roman" w:cs="Times New Roman"/>
          <w:sz w:val="24"/>
          <w:szCs w:val="24"/>
        </w:rPr>
        <w:t xml:space="preserve">Pelo exposto, entendemos ser cabível ao Chefe do Poder Executivo iniciar o processo legislativo nos termos apresentados. 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11EB">
        <w:rPr>
          <w:rFonts w:ascii="Times New Roman" w:hAnsi="Times New Roman" w:cs="Times New Roman"/>
          <w:sz w:val="24"/>
          <w:szCs w:val="24"/>
          <w:u w:val="single"/>
        </w:rPr>
        <w:t>Da constitucionalidade e legalidade</w:t>
      </w:r>
    </w:p>
    <w:p w:rsidR="00CF630E" w:rsidRDefault="00CF630E" w:rsidP="00CF630E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Na Constituição Federal, o direito à educação está regulamentado no art. 205, que assim dispõe: </w:t>
      </w:r>
    </w:p>
    <w:p w:rsidR="00CF630E" w:rsidRDefault="00CF630E" w:rsidP="00CF630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i/>
          <w:szCs w:val="24"/>
        </w:rPr>
        <w:t>Art. 205. A educação, direito de todos e dever do Estado e da família, será promovida e incentivada com a colaboração da sociedade, visando ao pleno desenvolvimento da pessoa, seu preparo para o exercício da cidadania e sua qualificação para o trabalho.</w:t>
      </w:r>
      <w:r w:rsidRPr="00CF6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30E" w:rsidRDefault="00CF630E" w:rsidP="00CF630E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Também na Carta Magna é previsto como princípio norteador para ministrar o ensino, a gestão democrática do ensino público, </w:t>
      </w:r>
      <w:proofErr w:type="spellStart"/>
      <w:r w:rsidRPr="00CF630E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Pr="00CF630E">
        <w:rPr>
          <w:rFonts w:ascii="Times New Roman" w:hAnsi="Times New Roman" w:cs="Times New Roman"/>
          <w:sz w:val="24"/>
          <w:szCs w:val="24"/>
        </w:rPr>
        <w:t xml:space="preserve"> positis: </w:t>
      </w:r>
    </w:p>
    <w:p w:rsidR="00CF630E" w:rsidRPr="00CF630E" w:rsidRDefault="00CF630E" w:rsidP="00CF630E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CF630E">
        <w:rPr>
          <w:rFonts w:ascii="Times New Roman" w:hAnsi="Times New Roman" w:cs="Times New Roman"/>
          <w:i/>
          <w:szCs w:val="24"/>
        </w:rPr>
        <w:t xml:space="preserve">Art. 206. O ensino será ministrado com base nos seguintes princípios: (...) VI – gestão democrática do ensino público, na forma da lei; </w:t>
      </w:r>
    </w:p>
    <w:p w:rsidR="00CF630E" w:rsidRDefault="00CF630E" w:rsidP="00CF630E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Na mesma linha segue a Constituição Estadual, onde o direito à educação também está prestigiado, senão vejamos: </w:t>
      </w:r>
    </w:p>
    <w:p w:rsidR="00CF630E" w:rsidRPr="00CF630E" w:rsidRDefault="00CF630E" w:rsidP="00CF630E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CF630E">
        <w:rPr>
          <w:rFonts w:ascii="Times New Roman" w:hAnsi="Times New Roman" w:cs="Times New Roman"/>
          <w:i/>
          <w:szCs w:val="24"/>
        </w:rPr>
        <w:t xml:space="preserve">Art. 196. A educação, direito de todos e dever do Estado e da família, baseada na justiça social, na democracia e no respeito aos direitos humanos, ao meio ambiente e aos valores culturais, visa ao desenvolvimento do educando como pessoa e à sua qualificação para o trabalho e o exercício da cidadania. </w:t>
      </w:r>
    </w:p>
    <w:p w:rsidR="00CF630E" w:rsidRDefault="00CF630E" w:rsidP="00CF630E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A gestão democrática do ensino público também está regulamentada na Constituição Estadual, assim disposta: </w:t>
      </w:r>
    </w:p>
    <w:p w:rsidR="00CF630E" w:rsidRPr="00CF630E" w:rsidRDefault="00CF630E" w:rsidP="00CF630E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CF630E">
        <w:rPr>
          <w:rFonts w:ascii="Times New Roman" w:hAnsi="Times New Roman" w:cs="Times New Roman"/>
          <w:i/>
          <w:szCs w:val="24"/>
        </w:rPr>
        <w:t xml:space="preserve">Art. 197. O ensino será ministrado com base nos seguintes princípios: (...) VI – gestão democrática do ensino público; </w:t>
      </w:r>
    </w:p>
    <w:p w:rsidR="00CF630E" w:rsidRDefault="00CF630E" w:rsidP="00CF630E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A organização do sistema municipal através da gestão democrática de ensino também está prevista nas Diretrizes do Plano Nacional de Educação – PNE, recepcionado pelo município através da Lei Municipal nº 3.406/2015, conforme segue: </w:t>
      </w:r>
    </w:p>
    <w:p w:rsidR="00CF630E" w:rsidRDefault="00CF630E" w:rsidP="00CF630E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São diretrizes do Plano Nacional de Educação - PNE que, da mesma forma, presidem o Plano Municipal de Educação de Gramado - PME: (...) VI - promoção do princípio da gestão democrática da educação pública; </w:t>
      </w:r>
    </w:p>
    <w:p w:rsidR="00CF630E" w:rsidRDefault="00CF630E" w:rsidP="00CF630E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Portanto amplamente demonstrado que toda legislação maior adota a gestão democrática como norteador do ensino público, em todas as esferas de governo. </w:t>
      </w:r>
    </w:p>
    <w:p w:rsidR="00CF630E" w:rsidRDefault="00CF630E" w:rsidP="00CF630E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>Esse parece ser o sentido da presente propositura, quando amplia a participação da comunidade escolar nas escolhas dos Diretores, com redução do prazo de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30E">
        <w:rPr>
          <w:rFonts w:ascii="Times New Roman" w:hAnsi="Times New Roman" w:cs="Times New Roman"/>
          <w:sz w:val="24"/>
          <w:szCs w:val="24"/>
        </w:rPr>
        <w:t>(quatro) anos para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30E">
        <w:rPr>
          <w:rFonts w:ascii="Times New Roman" w:hAnsi="Times New Roman" w:cs="Times New Roman"/>
          <w:sz w:val="24"/>
          <w:szCs w:val="24"/>
        </w:rPr>
        <w:t xml:space="preserve">(dois) anos para a vigência dos mandatos destes profissionais, colocando-os sob avaliação mais frequente daqueles eu se utilizam do sistema público de ensino. </w:t>
      </w:r>
    </w:p>
    <w:p w:rsidR="00CF630E" w:rsidRDefault="00CF630E" w:rsidP="00CF630E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Também regulamenta a possibilidade dos atuais diretores a disputarem a reeleição no primeiro trimestre de 2018, medida que se impõe razoável, visto que estes profissionais foram eleitos sistema anterior, quando a continuidade no </w:t>
      </w:r>
      <w:r w:rsidRPr="00CF630E">
        <w:rPr>
          <w:rFonts w:ascii="Times New Roman" w:hAnsi="Times New Roman" w:cs="Times New Roman"/>
          <w:sz w:val="24"/>
          <w:szCs w:val="24"/>
        </w:rPr>
        <w:lastRenderedPageBreak/>
        <w:t xml:space="preserve">cargo era admitida sequencialmente, estabelecendo uma espécie de transição entre os dois sistemas, o que se avalia salutar para o sistema democrático. </w:t>
      </w:r>
    </w:p>
    <w:p w:rsidR="00CF630E" w:rsidRDefault="00CF630E" w:rsidP="00961D9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Estabelece ainda a prorrogação dos atuais mandatos até 31/03/2018, o que também avaliamos adequado, no sentido de que a publicação de editais e a execução do processo de consulta a comunidade escolar demanda tempo, não podendo as escolas ficarem sem comando durante este período. </w:t>
      </w:r>
    </w:p>
    <w:p w:rsidR="00CF630E" w:rsidRDefault="00CF630E" w:rsidP="00961D9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Ainda a presente propositura mantém a indicação final do cargo de Diretor, para o Chefe do Poder Executivo, através da lista tríplice decorrente da consulta a comunidade escolar. Em que pese a preferência do atual Prefeito pelas eleições diretas, apreciadas em Projetos de Lei anteriores, declarados inconstitucionais por esta Casa Legislativa, a manutenção deste modelo avaliamos como a mais adequada, é pacífica na jurisprudência como sendo constitucional, em razão de oportunizar a comunidade escolar a sua manifestação, porém não retirando do Chefe do Poder Executivo a prerrogativa de indicação do cargo, em respeito aos preceitos constitucionais, que estabelecem de livre nomeação e exoneração os cargos de Direção, chefia e assessoramento. </w:t>
      </w:r>
    </w:p>
    <w:p w:rsidR="00CF630E" w:rsidRDefault="00CF630E" w:rsidP="00961D9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Nesse sentido, o disposto nos artigos 8º, caput, 32, caput, e 82, inciso XVIII da Constituição Estadual, in </w:t>
      </w:r>
      <w:proofErr w:type="spellStart"/>
      <w:r w:rsidRPr="00CF630E">
        <w:rPr>
          <w:rFonts w:ascii="Times New Roman" w:hAnsi="Times New Roman" w:cs="Times New Roman"/>
          <w:sz w:val="24"/>
          <w:szCs w:val="24"/>
        </w:rPr>
        <w:t>verbis</w:t>
      </w:r>
      <w:proofErr w:type="spellEnd"/>
      <w:r w:rsidRPr="00CF630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630E" w:rsidRPr="00961D97" w:rsidRDefault="00CF630E" w:rsidP="00CF630E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61D97">
        <w:rPr>
          <w:rFonts w:ascii="Times New Roman" w:hAnsi="Times New Roman" w:cs="Times New Roman"/>
          <w:i/>
          <w:szCs w:val="24"/>
        </w:rPr>
        <w:t xml:space="preserve">Art. 8.º O Município, dotado de autonomia política, administrativa e financeira, reger-se-á por lei orgânica e pela legislação que adotar, observados os princípios estabelecidos na Constituição Federal e nesta Constituição. </w:t>
      </w:r>
    </w:p>
    <w:p w:rsidR="00CF630E" w:rsidRPr="00961D97" w:rsidRDefault="00CF630E" w:rsidP="00CF630E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61D97">
        <w:rPr>
          <w:rFonts w:ascii="Times New Roman" w:hAnsi="Times New Roman" w:cs="Times New Roman"/>
          <w:i/>
          <w:szCs w:val="24"/>
        </w:rPr>
        <w:t xml:space="preserve">Art. 32. Os cargos em comissão, criados por lei em número e com remuneração certos e com atribuições definidas de direção, chefia ou assessoramento, são de livre nomeação e exoneração, observados os requisitos gerais de provimento em cargos estaduais. </w:t>
      </w:r>
    </w:p>
    <w:p w:rsidR="00CF630E" w:rsidRPr="00961D97" w:rsidRDefault="00CF630E" w:rsidP="00CF630E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61D97">
        <w:rPr>
          <w:rFonts w:ascii="Times New Roman" w:hAnsi="Times New Roman" w:cs="Times New Roman"/>
          <w:i/>
          <w:szCs w:val="24"/>
        </w:rPr>
        <w:t xml:space="preserve">Art. 82. Compete ao Governador, privativamente: (...) XVIII - prover os cargos do Poder Executivo, na forma da lei; (...) </w:t>
      </w:r>
    </w:p>
    <w:p w:rsidR="00CF630E" w:rsidRDefault="00CF630E" w:rsidP="00961D9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Assim, oportuno reiterar que o princípio da gestão democrática do ensino público (art. 206, VI, da Constituição Federal) não afasta a regra da livre nomeação de cargos comissionados (art. 37, II), que assim dispõe: </w:t>
      </w:r>
    </w:p>
    <w:p w:rsidR="00CF630E" w:rsidRPr="00961D97" w:rsidRDefault="00CF630E" w:rsidP="00CF630E">
      <w:pPr>
        <w:pStyle w:val="SemEspaamento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61D97">
        <w:rPr>
          <w:rFonts w:ascii="Times New Roman" w:hAnsi="Times New Roman" w:cs="Times New Roman"/>
          <w:i/>
          <w:szCs w:val="24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(...) II - 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exoneração; (...) V – as funções de confiança, exercidas exclusivamente por servidores ocupantes de cargo efetivo, e os cargos em comissão, a serem preenchidos por servidores de carreira nos casos, condições e percentuais mínimos previstos em lei, destinam-se apenas às atribuições de direção, chefia e assessoramento; </w:t>
      </w:r>
    </w:p>
    <w:p w:rsidR="00CF630E" w:rsidRDefault="00CF630E" w:rsidP="00961D9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Também observamos que o referido PL regulamenta a consulta a comunidade escolar para escolas com mais de 50(cinquenta) alunos, ampliando o </w:t>
      </w:r>
      <w:r w:rsidRPr="00CF630E">
        <w:rPr>
          <w:rFonts w:ascii="Times New Roman" w:hAnsi="Times New Roman" w:cs="Times New Roman"/>
          <w:sz w:val="24"/>
          <w:szCs w:val="24"/>
        </w:rPr>
        <w:lastRenderedPageBreak/>
        <w:t xml:space="preserve">processo democrático, vez que no texto atual refere a consulta apenas para escolas com mais de 100(cem) alunos, o que avaliamos dentro da legalidade, partindo do critério de conveniência e oportunidade da administração municipal, dentro da discricionariedade que lhe é permitida na gestão administrativa. </w:t>
      </w:r>
    </w:p>
    <w:p w:rsidR="00CF630E" w:rsidRDefault="00CF630E" w:rsidP="00961D9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 xml:space="preserve">Por fim, o texto legal também regulamenta quem pode votar, quem pode ser votado e o peso dos respectivos votos, atribuindo a participação dos pais ou representantes legais no processo democrático, antes não existente, o que também é critério decorrente para dispor sobre a organização e o funcionamento da administração municipal. </w:t>
      </w:r>
    </w:p>
    <w:p w:rsidR="00F751A1" w:rsidRPr="00C811EB" w:rsidRDefault="00CF630E" w:rsidP="00961D97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F630E">
        <w:rPr>
          <w:rFonts w:ascii="Times New Roman" w:hAnsi="Times New Roman" w:cs="Times New Roman"/>
          <w:sz w:val="24"/>
          <w:szCs w:val="24"/>
        </w:rPr>
        <w:t>Portanto, os critérios como tempo dos mandatos, e a forma de consulta à comunidade escolar, oriundo daqueles que usam o sistema, tais como professores, funcionários e pais de alunos, definindo que pode votar e quem pode ser votado, como também a proporcionalidade dos votos, a nova data para a consulta à comunidade escolar (prorrogada para março/2018), juntamente com mandato dos atuais diretores, são matérias de competência do Poder Executivo Municipal, junto com Secretaria Municipal de Educação regular, definindo as condições para sua execução, entretanto sem destituir o Chefe do Poder Executivo de participar do processo, porquanto cabe a ele, em razão do art. 37, II, direito à livre nomeação e exoneração, conforme amplamente demonstrado.</w:t>
      </w: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A67" w:rsidRPr="00C811EB" w:rsidRDefault="000E2A67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I – Quanto à área de Redação Final </w:t>
      </w:r>
    </w:p>
    <w:p w:rsidR="000E2A67" w:rsidRDefault="000E2A67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Art. 54, II, do Regimento Interno desta Casa:</w:t>
      </w:r>
    </w:p>
    <w:p w:rsidR="00C811EB" w:rsidRPr="00C811EB" w:rsidRDefault="00C811EB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1A1" w:rsidRPr="00C811EB" w:rsidRDefault="00F751A1" w:rsidP="00C811EB">
      <w:pPr>
        <w:pStyle w:val="SemEspaamento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811EB">
        <w:rPr>
          <w:rFonts w:ascii="Times New Roman" w:hAnsi="Times New Roman" w:cs="Times New Roman"/>
          <w:sz w:val="24"/>
          <w:szCs w:val="24"/>
          <w:u w:val="single"/>
        </w:rPr>
        <w:t>Da Técnica Legislativa</w:t>
      </w:r>
    </w:p>
    <w:p w:rsidR="00F751A1" w:rsidRPr="00C811EB" w:rsidRDefault="00F751A1" w:rsidP="00C811EB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11E4" w:rsidRDefault="002A11E4" w:rsidP="002A11E4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11E4">
        <w:rPr>
          <w:rFonts w:ascii="Times New Roman" w:hAnsi="Times New Roman" w:cs="Times New Roman"/>
          <w:sz w:val="24"/>
          <w:szCs w:val="24"/>
        </w:rPr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normativos, em conformidade com o que dispõe a Lei Complementar nº 95/1998. </w:t>
      </w:r>
    </w:p>
    <w:p w:rsidR="002A11E4" w:rsidRDefault="002A11E4" w:rsidP="002A11E4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A11E4">
        <w:rPr>
          <w:rFonts w:ascii="Times New Roman" w:hAnsi="Times New Roman" w:cs="Times New Roman"/>
          <w:sz w:val="24"/>
          <w:szCs w:val="24"/>
        </w:rPr>
        <w:t xml:space="preserve">O PL ora em análise está disposto em artigos, parágrafos e incisos, em conformidade com o que dispõe a LC 95/98. Entretanto, na ordem sequencial dos parágrafos identificamos um erro formal, quando após o § 10º, o PL enumera o § 7º, seguido do § 11º, enquanto o correto seria § 10º, § 11º e § 12º, o que sugerimos seja ajustado pela Comissão de Legislação e Redação Final. </w:t>
      </w:r>
    </w:p>
    <w:p w:rsidR="002A11E4" w:rsidRDefault="002A11E4" w:rsidP="002A11E4">
      <w:pPr>
        <w:pStyle w:val="SemEspaamento"/>
        <w:spacing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1E4">
        <w:rPr>
          <w:rFonts w:ascii="Times New Roman" w:hAnsi="Times New Roman" w:cs="Times New Roman"/>
          <w:sz w:val="24"/>
          <w:szCs w:val="24"/>
        </w:rPr>
        <w:t xml:space="preserve">No que se refere ao prazo de vigência, que ficou estabelecido para entrar em vigor na data da publicação, também segue o disposto na LC 95/98 para </w:t>
      </w:r>
      <w:r w:rsidRPr="002A11E4">
        <w:rPr>
          <w:rFonts w:ascii="Times New Roman" w:hAnsi="Times New Roman" w:cs="Times New Roman"/>
          <w:sz w:val="24"/>
          <w:szCs w:val="24"/>
        </w:rPr>
        <w:lastRenderedPageBreak/>
        <w:t>leis de pequena repercussão, apresentando formatação adequada, ao nosso juízo, dentro das normas legais vigentes.</w:t>
      </w:r>
      <w:r w:rsidRPr="002A1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A11E4" w:rsidRDefault="002A11E4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87662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811EB">
        <w:rPr>
          <w:rFonts w:ascii="Times New Roman" w:eastAsia="Calibri" w:hAnsi="Times New Roman" w:cs="Times New Roman"/>
          <w:sz w:val="24"/>
          <w:szCs w:val="24"/>
          <w:u w:val="single"/>
        </w:rPr>
        <w:t>Conclusão do Voto:</w:t>
      </w:r>
    </w:p>
    <w:p w:rsidR="00C811EB" w:rsidRPr="00C811EB" w:rsidRDefault="00C811EB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6296C" w:rsidRPr="00C811EB" w:rsidRDefault="00487662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ab/>
        <w:t xml:space="preserve">Diante dos fundamentos legais e constitucionais expostos, com fundamento </w:t>
      </w:r>
      <w:r w:rsidR="0036296C" w:rsidRPr="00C811EB">
        <w:rPr>
          <w:rFonts w:ascii="Times New Roman" w:eastAsia="Calibri" w:hAnsi="Times New Roman" w:cs="Times New Roman"/>
          <w:sz w:val="24"/>
          <w:szCs w:val="24"/>
        </w:rPr>
        <w:t>na Orientação Jurídica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da Procuradora Geral desta Casa, esta Relatoria, depois de debate realizado na Comissão, disponibiliza o presente voto concluindo </w:t>
      </w:r>
      <w:r w:rsidR="006272BC" w:rsidRPr="00C811EB">
        <w:rPr>
          <w:rFonts w:ascii="Times New Roman" w:eastAsia="Calibri" w:hAnsi="Times New Roman" w:cs="Times New Roman"/>
          <w:sz w:val="24"/>
          <w:szCs w:val="24"/>
        </w:rPr>
        <w:t xml:space="preserve">que o PL </w:t>
      </w:r>
      <w:r w:rsidR="0036296C" w:rsidRPr="00C811EB">
        <w:rPr>
          <w:rFonts w:ascii="Times New Roman" w:eastAsia="Calibri" w:hAnsi="Times New Roman" w:cs="Times New Roman"/>
          <w:sz w:val="24"/>
          <w:szCs w:val="24"/>
        </w:rPr>
        <w:t>0</w:t>
      </w:r>
      <w:r w:rsidR="002A11E4">
        <w:rPr>
          <w:rFonts w:ascii="Times New Roman" w:eastAsia="Calibri" w:hAnsi="Times New Roman" w:cs="Times New Roman"/>
          <w:sz w:val="24"/>
          <w:szCs w:val="24"/>
        </w:rPr>
        <w:t>5</w:t>
      </w:r>
      <w:r w:rsidR="006272BC" w:rsidRPr="00C811EB">
        <w:rPr>
          <w:rFonts w:ascii="Times New Roman" w:eastAsia="Calibri" w:hAnsi="Times New Roman" w:cs="Times New Roman"/>
          <w:sz w:val="24"/>
          <w:szCs w:val="24"/>
        </w:rPr>
        <w:t>/201</w:t>
      </w:r>
      <w:r w:rsidR="0036296C" w:rsidRPr="00C811EB">
        <w:rPr>
          <w:rFonts w:ascii="Times New Roman" w:eastAsia="Calibri" w:hAnsi="Times New Roman" w:cs="Times New Roman"/>
          <w:sz w:val="24"/>
          <w:szCs w:val="24"/>
        </w:rPr>
        <w:t>8</w:t>
      </w:r>
      <w:r w:rsidR="006272BC" w:rsidRPr="00C811EB">
        <w:rPr>
          <w:rFonts w:ascii="Times New Roman" w:eastAsia="Calibri" w:hAnsi="Times New Roman" w:cs="Times New Roman"/>
          <w:sz w:val="24"/>
          <w:szCs w:val="24"/>
        </w:rPr>
        <w:t xml:space="preserve"> atende 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 xml:space="preserve">a constitucionalidade, legalidade e a </w:t>
      </w:r>
      <w:proofErr w:type="spellStart"/>
      <w:r w:rsidR="00762785" w:rsidRPr="00C811EB">
        <w:rPr>
          <w:rFonts w:ascii="Times New Roman" w:eastAsia="Calibri" w:hAnsi="Times New Roman" w:cs="Times New Roman"/>
          <w:sz w:val="24"/>
          <w:szCs w:val="24"/>
        </w:rPr>
        <w:t>regimentalidade</w:t>
      </w:r>
      <w:proofErr w:type="spellEnd"/>
      <w:r w:rsidR="006272BC" w:rsidRPr="00C811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46210" w:rsidRPr="00C811EB">
        <w:rPr>
          <w:rFonts w:ascii="Times New Roman" w:eastAsia="Calibri" w:hAnsi="Times New Roman" w:cs="Times New Roman"/>
          <w:sz w:val="24"/>
          <w:szCs w:val="24"/>
        </w:rPr>
        <w:t>sendo viável a sua tramitação</w:t>
      </w:r>
      <w:r w:rsidR="00C130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13059" w:rsidRPr="00C13059">
        <w:rPr>
          <w:rFonts w:ascii="Times New Roman" w:eastAsia="Calibri" w:hAnsi="Times New Roman" w:cs="Times New Roman"/>
          <w:sz w:val="24"/>
          <w:szCs w:val="24"/>
        </w:rPr>
        <w:t>observando ajustes necessários à redação final no que se refere a citação dos parágrafos, que não respeitaram a ordem sequencial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7662" w:rsidRPr="00C811EB" w:rsidRDefault="006272BC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ab/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 xml:space="preserve">Sala das Comissões, em 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1</w:t>
      </w:r>
      <w:r w:rsidR="00F06A65">
        <w:rPr>
          <w:rFonts w:ascii="Times New Roman" w:eastAsia="Calibri" w:hAnsi="Times New Roman" w:cs="Times New Roman"/>
          <w:sz w:val="24"/>
          <w:szCs w:val="24"/>
        </w:rPr>
        <w:t>1</w:t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janeir</w:t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>o de 201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8</w:t>
      </w:r>
      <w:r w:rsidR="00487662" w:rsidRPr="00C811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6013" w:rsidRDefault="00DB6013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6A65" w:rsidRPr="00C811EB" w:rsidRDefault="00F06A65" w:rsidP="00C811EB">
      <w:pPr>
        <w:pStyle w:val="SemEspaamento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Vereador Relator</w:t>
      </w: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Acompanhando o voto d</w:t>
      </w:r>
      <w:r w:rsidR="00762785" w:rsidRPr="00C811EB">
        <w:rPr>
          <w:rFonts w:ascii="Times New Roman" w:eastAsia="Calibri" w:hAnsi="Times New Roman" w:cs="Times New Roman"/>
          <w:sz w:val="24"/>
          <w:szCs w:val="24"/>
        </w:rPr>
        <w:t>o</w:t>
      </w:r>
      <w:r w:rsidRPr="00C811EB">
        <w:rPr>
          <w:rFonts w:ascii="Times New Roman" w:eastAsia="Calibri" w:hAnsi="Times New Roman" w:cs="Times New Roman"/>
          <w:sz w:val="24"/>
          <w:szCs w:val="24"/>
        </w:rPr>
        <w:t xml:space="preserve"> relator:</w:t>
      </w:r>
    </w:p>
    <w:p w:rsidR="00487662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6A65" w:rsidRPr="00C811EB" w:rsidRDefault="00F06A65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Vereador Presidente</w:t>
      </w:r>
    </w:p>
    <w:p w:rsidR="00487662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06A65" w:rsidRPr="00C811EB" w:rsidRDefault="00F06A65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7662" w:rsidRPr="00C811EB" w:rsidRDefault="00487662" w:rsidP="00C811EB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11EB">
        <w:rPr>
          <w:rFonts w:ascii="Times New Roman" w:eastAsia="Calibri" w:hAnsi="Times New Roman" w:cs="Times New Roman"/>
          <w:sz w:val="24"/>
          <w:szCs w:val="24"/>
        </w:rPr>
        <w:t>Vereador Vice-Presidente</w:t>
      </w:r>
    </w:p>
    <w:sectPr w:rsidR="00487662" w:rsidRPr="00C811EB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9A" w:rsidRDefault="006F1C9A" w:rsidP="00B17B53">
      <w:pPr>
        <w:spacing w:after="0" w:line="240" w:lineRule="auto"/>
      </w:pPr>
      <w:r>
        <w:separator/>
      </w:r>
    </w:p>
  </w:endnote>
  <w:end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9A" w:rsidRDefault="006F1C9A" w:rsidP="00B17B53">
      <w:pPr>
        <w:spacing w:after="0" w:line="240" w:lineRule="auto"/>
      </w:pPr>
      <w:r>
        <w:separator/>
      </w:r>
    </w:p>
  </w:footnote>
  <w:footnote w:type="continuationSeparator" w:id="0">
    <w:p w:rsidR="006F1C9A" w:rsidRDefault="006F1C9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46B9"/>
    <w:rsid w:val="00012609"/>
    <w:rsid w:val="00015D3A"/>
    <w:rsid w:val="0003725E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1429D"/>
    <w:rsid w:val="002201ED"/>
    <w:rsid w:val="00235B63"/>
    <w:rsid w:val="00240183"/>
    <w:rsid w:val="00265AA6"/>
    <w:rsid w:val="00271DF1"/>
    <w:rsid w:val="002A11E4"/>
    <w:rsid w:val="002A1785"/>
    <w:rsid w:val="002C01A4"/>
    <w:rsid w:val="002C4E64"/>
    <w:rsid w:val="002E5DCE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70EC8"/>
    <w:rsid w:val="0048029F"/>
    <w:rsid w:val="00480303"/>
    <w:rsid w:val="00482222"/>
    <w:rsid w:val="00487662"/>
    <w:rsid w:val="00490DFF"/>
    <w:rsid w:val="00491450"/>
    <w:rsid w:val="004B2EC3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71F7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636B8"/>
    <w:rsid w:val="0066586F"/>
    <w:rsid w:val="0067136B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549D6"/>
    <w:rsid w:val="00762785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0C42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0575"/>
    <w:rsid w:val="00905942"/>
    <w:rsid w:val="00916A40"/>
    <w:rsid w:val="00920430"/>
    <w:rsid w:val="009272F7"/>
    <w:rsid w:val="00932E95"/>
    <w:rsid w:val="00933774"/>
    <w:rsid w:val="00933E5A"/>
    <w:rsid w:val="009373E8"/>
    <w:rsid w:val="00943925"/>
    <w:rsid w:val="00945444"/>
    <w:rsid w:val="00950C3C"/>
    <w:rsid w:val="00961D97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45180"/>
    <w:rsid w:val="00A70B89"/>
    <w:rsid w:val="00A80EC9"/>
    <w:rsid w:val="00A84864"/>
    <w:rsid w:val="00A95A5F"/>
    <w:rsid w:val="00AA0455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C1E6D"/>
    <w:rsid w:val="00BD091F"/>
    <w:rsid w:val="00BD1FFF"/>
    <w:rsid w:val="00BD7F2E"/>
    <w:rsid w:val="00BE3002"/>
    <w:rsid w:val="00BE6C2F"/>
    <w:rsid w:val="00C00AD3"/>
    <w:rsid w:val="00C0418C"/>
    <w:rsid w:val="00C13059"/>
    <w:rsid w:val="00C17FAA"/>
    <w:rsid w:val="00C20D7C"/>
    <w:rsid w:val="00C30AA1"/>
    <w:rsid w:val="00C35380"/>
    <w:rsid w:val="00C372E3"/>
    <w:rsid w:val="00C40245"/>
    <w:rsid w:val="00C4317B"/>
    <w:rsid w:val="00C518D5"/>
    <w:rsid w:val="00C61310"/>
    <w:rsid w:val="00C63CD1"/>
    <w:rsid w:val="00C64428"/>
    <w:rsid w:val="00C701A7"/>
    <w:rsid w:val="00C701B0"/>
    <w:rsid w:val="00C70447"/>
    <w:rsid w:val="00C709DF"/>
    <w:rsid w:val="00C74362"/>
    <w:rsid w:val="00C811EB"/>
    <w:rsid w:val="00C949FB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CF630E"/>
    <w:rsid w:val="00D03E02"/>
    <w:rsid w:val="00D21214"/>
    <w:rsid w:val="00D242B5"/>
    <w:rsid w:val="00D33E26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623AB"/>
    <w:rsid w:val="00E9296F"/>
    <w:rsid w:val="00E9343F"/>
    <w:rsid w:val="00E939C7"/>
    <w:rsid w:val="00E97F24"/>
    <w:rsid w:val="00EA3A4E"/>
    <w:rsid w:val="00EA6208"/>
    <w:rsid w:val="00EA6C3E"/>
    <w:rsid w:val="00EB1C01"/>
    <w:rsid w:val="00EB6FAF"/>
    <w:rsid w:val="00EC080F"/>
    <w:rsid w:val="00EC55CA"/>
    <w:rsid w:val="00EE415C"/>
    <w:rsid w:val="00EF7806"/>
    <w:rsid w:val="00F06A65"/>
    <w:rsid w:val="00F1073F"/>
    <w:rsid w:val="00F13006"/>
    <w:rsid w:val="00F2289D"/>
    <w:rsid w:val="00F438A0"/>
    <w:rsid w:val="00F46809"/>
    <w:rsid w:val="00F46A58"/>
    <w:rsid w:val="00F527C6"/>
    <w:rsid w:val="00F56A49"/>
    <w:rsid w:val="00F60212"/>
    <w:rsid w:val="00F751A1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D7D0E-D714-4778-8BD6-82A95E92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2069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8</cp:revision>
  <cp:lastPrinted>2018-01-11T18:21:00Z</cp:lastPrinted>
  <dcterms:created xsi:type="dcterms:W3CDTF">2018-01-10T16:48:00Z</dcterms:created>
  <dcterms:modified xsi:type="dcterms:W3CDTF">2018-01-11T18:22:00Z</dcterms:modified>
</cp:coreProperties>
</file>