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FA5" w:rsidRDefault="00500FA5" w:rsidP="00F05D17">
      <w:pPr>
        <w:tabs>
          <w:tab w:val="left" w:pos="1418"/>
          <w:tab w:val="left" w:pos="5059"/>
        </w:tabs>
        <w:spacing w:line="276" w:lineRule="auto"/>
        <w:jc w:val="center"/>
        <w:rPr>
          <w:rFonts w:ascii="Arial" w:eastAsia="Calibri" w:hAnsi="Arial" w:cs="Arial"/>
          <w:b/>
          <w:sz w:val="24"/>
        </w:rPr>
      </w:pPr>
    </w:p>
    <w:p w:rsidR="00F05D17" w:rsidRPr="00F05D17" w:rsidRDefault="00F05D17" w:rsidP="00F05D17">
      <w:pPr>
        <w:tabs>
          <w:tab w:val="left" w:pos="1418"/>
          <w:tab w:val="left" w:pos="5059"/>
        </w:tabs>
        <w:spacing w:line="276" w:lineRule="auto"/>
        <w:jc w:val="center"/>
        <w:rPr>
          <w:rFonts w:ascii="Arial" w:eastAsia="Calibri" w:hAnsi="Arial" w:cs="Arial"/>
          <w:b/>
          <w:sz w:val="24"/>
        </w:rPr>
      </w:pPr>
      <w:r w:rsidRPr="00F05D17">
        <w:rPr>
          <w:rFonts w:ascii="Arial" w:eastAsia="Calibri" w:hAnsi="Arial" w:cs="Arial"/>
          <w:b/>
          <w:sz w:val="24"/>
        </w:rPr>
        <w:t xml:space="preserve">COMISSÃO DE CONSTITUIÇÃO, JUSTIÇA E </w:t>
      </w:r>
      <w:proofErr w:type="gramStart"/>
      <w:r w:rsidRPr="00F05D17">
        <w:rPr>
          <w:rFonts w:ascii="Arial" w:eastAsia="Calibri" w:hAnsi="Arial" w:cs="Arial"/>
          <w:b/>
          <w:sz w:val="24"/>
        </w:rPr>
        <w:t>REDAÇÃO</w:t>
      </w:r>
      <w:proofErr w:type="gramEnd"/>
    </w:p>
    <w:p w:rsidR="00F05D17" w:rsidRPr="00F05D17" w:rsidRDefault="00F05D17" w:rsidP="00F05D17">
      <w:pPr>
        <w:tabs>
          <w:tab w:val="left" w:pos="1418"/>
          <w:tab w:val="left" w:pos="5059"/>
        </w:tabs>
        <w:spacing w:line="276" w:lineRule="auto"/>
        <w:jc w:val="center"/>
        <w:rPr>
          <w:rFonts w:ascii="Arial" w:eastAsia="Calibri" w:hAnsi="Arial" w:cs="Arial"/>
          <w:b/>
          <w:sz w:val="24"/>
        </w:rPr>
      </w:pPr>
    </w:p>
    <w:p w:rsidR="00F05D17" w:rsidRPr="00F05D17" w:rsidRDefault="00F05D17" w:rsidP="00F05D17">
      <w:pPr>
        <w:tabs>
          <w:tab w:val="left" w:pos="1418"/>
          <w:tab w:val="left" w:pos="5059"/>
        </w:tabs>
        <w:spacing w:line="276" w:lineRule="auto"/>
        <w:jc w:val="both"/>
        <w:rPr>
          <w:rFonts w:ascii="Arial" w:eastAsia="Calibri" w:hAnsi="Arial" w:cs="Arial"/>
          <w:sz w:val="24"/>
        </w:rPr>
      </w:pPr>
      <w:r w:rsidRPr="00F05D17">
        <w:rPr>
          <w:rFonts w:ascii="Arial" w:eastAsia="Calibri" w:hAnsi="Arial" w:cs="Arial"/>
          <w:b/>
          <w:sz w:val="24"/>
        </w:rPr>
        <w:t>Parecer:</w:t>
      </w:r>
      <w:r w:rsidR="004276A0">
        <w:rPr>
          <w:rFonts w:ascii="Arial" w:eastAsia="Calibri" w:hAnsi="Arial" w:cs="Arial"/>
          <w:sz w:val="24"/>
        </w:rPr>
        <w:t xml:space="preserve"> </w:t>
      </w:r>
      <w:r w:rsidR="00EA38C1">
        <w:rPr>
          <w:rFonts w:ascii="Arial" w:eastAsia="Calibri" w:hAnsi="Arial" w:cs="Arial"/>
          <w:sz w:val="24"/>
        </w:rPr>
        <w:t>37</w:t>
      </w:r>
      <w:r w:rsidRPr="00F05D17">
        <w:rPr>
          <w:rFonts w:ascii="Arial" w:eastAsia="Calibri" w:hAnsi="Arial" w:cs="Arial"/>
          <w:sz w:val="24"/>
        </w:rPr>
        <w:t>/2017</w:t>
      </w:r>
    </w:p>
    <w:p w:rsidR="00F05D17" w:rsidRPr="00F05D17" w:rsidRDefault="00F05D17" w:rsidP="00F05D17">
      <w:pPr>
        <w:tabs>
          <w:tab w:val="left" w:pos="1418"/>
          <w:tab w:val="left" w:pos="4253"/>
        </w:tabs>
        <w:spacing w:line="276" w:lineRule="auto"/>
        <w:jc w:val="both"/>
        <w:rPr>
          <w:rFonts w:ascii="Arial" w:eastAsia="Calibri" w:hAnsi="Arial" w:cs="Arial"/>
          <w:sz w:val="24"/>
        </w:rPr>
      </w:pPr>
      <w:r w:rsidRPr="00F05D17">
        <w:rPr>
          <w:rFonts w:ascii="Arial" w:eastAsia="Calibri" w:hAnsi="Arial" w:cs="Arial"/>
          <w:b/>
          <w:sz w:val="24"/>
        </w:rPr>
        <w:t>Data:</w:t>
      </w:r>
      <w:r w:rsidRPr="00F05D17">
        <w:rPr>
          <w:rFonts w:ascii="Arial" w:eastAsia="Calibri" w:hAnsi="Arial" w:cs="Arial"/>
          <w:sz w:val="24"/>
        </w:rPr>
        <w:t xml:space="preserve"> </w:t>
      </w:r>
      <w:r w:rsidR="004276A0">
        <w:rPr>
          <w:rFonts w:ascii="Arial" w:eastAsia="Calibri" w:hAnsi="Arial" w:cs="Arial"/>
          <w:sz w:val="24"/>
        </w:rPr>
        <w:t>11</w:t>
      </w:r>
      <w:r w:rsidRPr="00F05D17">
        <w:rPr>
          <w:rFonts w:ascii="Arial" w:eastAsia="Calibri" w:hAnsi="Arial" w:cs="Arial"/>
          <w:sz w:val="24"/>
        </w:rPr>
        <w:t xml:space="preserve">de </w:t>
      </w:r>
      <w:r w:rsidR="004276A0">
        <w:rPr>
          <w:rFonts w:ascii="Arial" w:eastAsia="Calibri" w:hAnsi="Arial" w:cs="Arial"/>
          <w:sz w:val="24"/>
        </w:rPr>
        <w:t xml:space="preserve">maio </w:t>
      </w:r>
      <w:r w:rsidRPr="00F05D17">
        <w:rPr>
          <w:rFonts w:ascii="Arial" w:eastAsia="Calibri" w:hAnsi="Arial" w:cs="Arial"/>
          <w:sz w:val="24"/>
        </w:rPr>
        <w:t>de 2017</w:t>
      </w:r>
    </w:p>
    <w:p w:rsidR="00F05D17" w:rsidRPr="00F05D17" w:rsidRDefault="00F05D17" w:rsidP="00F05D17">
      <w:pPr>
        <w:tabs>
          <w:tab w:val="left" w:pos="1418"/>
        </w:tabs>
        <w:spacing w:line="276" w:lineRule="auto"/>
        <w:jc w:val="both"/>
        <w:rPr>
          <w:rFonts w:ascii="Arial" w:eastAsia="Calibri" w:hAnsi="Arial" w:cs="Arial"/>
          <w:sz w:val="24"/>
        </w:rPr>
      </w:pPr>
      <w:r w:rsidRPr="00F05D17">
        <w:rPr>
          <w:rFonts w:ascii="Arial" w:eastAsia="Calibri" w:hAnsi="Arial" w:cs="Arial"/>
          <w:b/>
          <w:sz w:val="24"/>
        </w:rPr>
        <w:t>Matéria:</w:t>
      </w:r>
      <w:r w:rsidRPr="00F05D17">
        <w:rPr>
          <w:rFonts w:ascii="Arial" w:eastAsia="Calibri" w:hAnsi="Arial" w:cs="Arial"/>
          <w:sz w:val="24"/>
        </w:rPr>
        <w:t xml:space="preserve"> </w:t>
      </w:r>
      <w:r w:rsidR="004276A0">
        <w:rPr>
          <w:rFonts w:ascii="Arial" w:eastAsia="Calibri" w:hAnsi="Arial" w:cs="Arial"/>
          <w:sz w:val="24"/>
        </w:rPr>
        <w:t xml:space="preserve">Substitutivo ao Projeto de Lei 11/2017 </w:t>
      </w:r>
      <w:r w:rsidRPr="00F05D17">
        <w:rPr>
          <w:rFonts w:ascii="Arial" w:eastAsia="Calibri" w:hAnsi="Arial" w:cs="Arial"/>
          <w:sz w:val="24"/>
        </w:rPr>
        <w:tab/>
      </w:r>
      <w:r>
        <w:rPr>
          <w:rFonts w:ascii="Arial" w:eastAsia="Calibri" w:hAnsi="Arial" w:cs="Arial"/>
          <w:sz w:val="24"/>
        </w:rPr>
        <w:tab/>
      </w:r>
      <w:r w:rsidRPr="00F05D17">
        <w:rPr>
          <w:rFonts w:ascii="Arial" w:eastAsia="Calibri" w:hAnsi="Arial" w:cs="Arial"/>
          <w:b/>
          <w:sz w:val="24"/>
        </w:rPr>
        <w:t>Autor:</w:t>
      </w:r>
      <w:r w:rsidRPr="00F05D17">
        <w:rPr>
          <w:rFonts w:ascii="Arial" w:eastAsia="Calibri" w:hAnsi="Arial" w:cs="Arial"/>
          <w:sz w:val="24"/>
        </w:rPr>
        <w:t xml:space="preserve"> Poder Executivo</w:t>
      </w:r>
    </w:p>
    <w:p w:rsidR="00F05D17" w:rsidRPr="00F05D17" w:rsidRDefault="00F05D17" w:rsidP="00F05D17">
      <w:pPr>
        <w:tabs>
          <w:tab w:val="left" w:pos="1418"/>
          <w:tab w:val="left" w:pos="4253"/>
        </w:tabs>
        <w:spacing w:line="276" w:lineRule="auto"/>
        <w:jc w:val="both"/>
        <w:rPr>
          <w:rFonts w:ascii="Arial" w:eastAsia="Calibri" w:hAnsi="Arial" w:cs="Arial"/>
          <w:sz w:val="24"/>
        </w:rPr>
      </w:pPr>
      <w:r w:rsidRPr="00F05D17">
        <w:rPr>
          <w:rFonts w:ascii="Arial" w:eastAsia="Calibri" w:hAnsi="Arial" w:cs="Arial"/>
          <w:b/>
          <w:sz w:val="24"/>
        </w:rPr>
        <w:t>Relator:</w:t>
      </w:r>
      <w:r w:rsidRPr="00F05D17">
        <w:rPr>
          <w:rFonts w:ascii="Arial" w:eastAsia="Calibri" w:hAnsi="Arial" w:cs="Arial"/>
          <w:sz w:val="24"/>
        </w:rPr>
        <w:t xml:space="preserve"> </w:t>
      </w:r>
      <w:r w:rsidR="004276A0">
        <w:rPr>
          <w:rFonts w:ascii="Arial" w:eastAsia="Calibri" w:hAnsi="Arial" w:cs="Arial"/>
          <w:sz w:val="24"/>
        </w:rPr>
        <w:t>Ver. Manu Calliari</w:t>
      </w:r>
      <w:r w:rsidRPr="00F05D17">
        <w:rPr>
          <w:rFonts w:ascii="Arial" w:eastAsia="Calibri" w:hAnsi="Arial" w:cs="Arial"/>
          <w:sz w:val="24"/>
        </w:rPr>
        <w:tab/>
      </w:r>
      <w:r w:rsidR="00065D9B">
        <w:rPr>
          <w:rFonts w:ascii="Arial" w:eastAsia="Calibri" w:hAnsi="Arial" w:cs="Arial"/>
          <w:sz w:val="24"/>
        </w:rPr>
        <w:tab/>
      </w:r>
      <w:r w:rsidR="00065D9B">
        <w:rPr>
          <w:rFonts w:ascii="Arial" w:eastAsia="Calibri" w:hAnsi="Arial" w:cs="Arial"/>
          <w:sz w:val="24"/>
        </w:rPr>
        <w:tab/>
      </w:r>
      <w:r w:rsidRPr="00F05D17">
        <w:rPr>
          <w:rFonts w:ascii="Arial" w:eastAsia="Calibri" w:hAnsi="Arial" w:cs="Arial"/>
          <w:b/>
          <w:sz w:val="24"/>
        </w:rPr>
        <w:t>Conclusão do Voto:</w:t>
      </w:r>
      <w:r w:rsidRPr="00F05D17">
        <w:rPr>
          <w:rFonts w:ascii="Arial" w:eastAsia="Calibri" w:hAnsi="Arial" w:cs="Arial"/>
          <w:sz w:val="24"/>
        </w:rPr>
        <w:t xml:space="preserve"> Favorável </w:t>
      </w:r>
    </w:p>
    <w:p w:rsidR="00065D9B" w:rsidRDefault="00F05D17" w:rsidP="00F05D17">
      <w:pPr>
        <w:tabs>
          <w:tab w:val="left" w:pos="1418"/>
          <w:tab w:val="left" w:pos="5059"/>
        </w:tabs>
        <w:spacing w:line="276" w:lineRule="auto"/>
        <w:jc w:val="both"/>
        <w:rPr>
          <w:rFonts w:ascii="Arial" w:eastAsia="Calibri" w:hAnsi="Arial" w:cs="Arial"/>
          <w:b/>
          <w:sz w:val="24"/>
        </w:rPr>
      </w:pPr>
      <w:r w:rsidRPr="00F05D17">
        <w:rPr>
          <w:rFonts w:ascii="Arial" w:eastAsia="Calibri" w:hAnsi="Arial" w:cs="Arial"/>
          <w:b/>
          <w:sz w:val="24"/>
        </w:rPr>
        <w:t xml:space="preserve">Ementa: </w:t>
      </w:r>
      <w:r w:rsidR="00065D9B">
        <w:rPr>
          <w:rFonts w:ascii="Arial" w:eastAsia="Calibri" w:hAnsi="Arial" w:cs="Arial"/>
          <w:b/>
          <w:sz w:val="24"/>
        </w:rPr>
        <w:t>“Altera dispositivo da Lei Municipal nº 3.502, de 21 de outubro de 2016, que dispõe sobre as diretrizes para a elaboração e discussão da Lei Orçamentária de 2017”.</w:t>
      </w:r>
    </w:p>
    <w:p w:rsidR="00F05D17" w:rsidRPr="00F05D17" w:rsidRDefault="00065D9B" w:rsidP="00F05D17">
      <w:pPr>
        <w:tabs>
          <w:tab w:val="left" w:pos="1418"/>
          <w:tab w:val="left" w:pos="5059"/>
        </w:tabs>
        <w:spacing w:line="276" w:lineRule="auto"/>
        <w:jc w:val="both"/>
        <w:rPr>
          <w:rFonts w:ascii="Arial" w:eastAsia="Calibri" w:hAnsi="Arial" w:cs="Arial"/>
          <w:sz w:val="24"/>
        </w:rPr>
      </w:pPr>
      <w:r>
        <w:rPr>
          <w:rFonts w:ascii="Arial" w:eastAsia="Calibri" w:hAnsi="Arial" w:cs="Arial"/>
          <w:b/>
          <w:sz w:val="24"/>
        </w:rPr>
        <w:t xml:space="preserve">  </w:t>
      </w:r>
    </w:p>
    <w:p w:rsidR="00F05D17" w:rsidRPr="00F05D17" w:rsidRDefault="00F05D17" w:rsidP="00F05D17">
      <w:pPr>
        <w:tabs>
          <w:tab w:val="left" w:pos="1418"/>
          <w:tab w:val="left" w:pos="5059"/>
        </w:tabs>
        <w:spacing w:line="276" w:lineRule="auto"/>
        <w:jc w:val="center"/>
        <w:rPr>
          <w:rFonts w:ascii="Arial" w:eastAsia="Calibri" w:hAnsi="Arial" w:cs="Arial"/>
          <w:b/>
          <w:sz w:val="24"/>
        </w:rPr>
      </w:pPr>
      <w:r w:rsidRPr="00F05D17">
        <w:rPr>
          <w:rFonts w:ascii="Arial" w:eastAsia="Calibri" w:hAnsi="Arial" w:cs="Arial"/>
          <w:b/>
          <w:sz w:val="24"/>
        </w:rPr>
        <w:t>Relatório:</w:t>
      </w:r>
    </w:p>
    <w:p w:rsidR="00F05D17" w:rsidRPr="00F05D17" w:rsidRDefault="00F05D17" w:rsidP="00F05D17">
      <w:pPr>
        <w:tabs>
          <w:tab w:val="left" w:pos="1418"/>
          <w:tab w:val="left" w:pos="5059"/>
        </w:tabs>
        <w:spacing w:line="276" w:lineRule="auto"/>
        <w:jc w:val="center"/>
        <w:rPr>
          <w:rFonts w:ascii="Arial" w:eastAsia="Calibri" w:hAnsi="Arial" w:cs="Arial"/>
          <w:b/>
          <w:sz w:val="24"/>
        </w:rPr>
      </w:pPr>
    </w:p>
    <w:p w:rsidR="00F05D17" w:rsidRPr="00F05D17" w:rsidRDefault="00F05D17" w:rsidP="00F05D17">
      <w:pPr>
        <w:tabs>
          <w:tab w:val="left" w:pos="1701"/>
          <w:tab w:val="left" w:pos="5059"/>
        </w:tabs>
        <w:spacing w:line="276" w:lineRule="auto"/>
        <w:jc w:val="both"/>
        <w:rPr>
          <w:rFonts w:ascii="Arial" w:eastAsia="Calibri" w:hAnsi="Arial" w:cs="Arial"/>
          <w:sz w:val="24"/>
        </w:rPr>
      </w:pPr>
      <w:r w:rsidRPr="00F05D17">
        <w:rPr>
          <w:rFonts w:ascii="Arial" w:eastAsia="Calibri" w:hAnsi="Arial" w:cs="Arial"/>
          <w:sz w:val="24"/>
        </w:rPr>
        <w:t>1.</w:t>
      </w:r>
      <w:r w:rsidRPr="00F05D17">
        <w:rPr>
          <w:rFonts w:ascii="Arial" w:eastAsia="Calibri" w:hAnsi="Arial" w:cs="Arial"/>
          <w:sz w:val="24"/>
        </w:rPr>
        <w:tab/>
        <w:t>O Projeto de Lei em análise foi apresentado nesta Casa Legislativa no dia</w:t>
      </w:r>
      <w:r w:rsidR="00065D9B">
        <w:rPr>
          <w:rFonts w:ascii="Arial" w:eastAsia="Calibri" w:hAnsi="Arial" w:cs="Arial"/>
          <w:sz w:val="24"/>
        </w:rPr>
        <w:t xml:space="preserve"> 04</w:t>
      </w:r>
      <w:r w:rsidRPr="00F05D17">
        <w:rPr>
          <w:rFonts w:ascii="Arial" w:eastAsia="Calibri" w:hAnsi="Arial" w:cs="Arial"/>
          <w:sz w:val="24"/>
        </w:rPr>
        <w:t xml:space="preserve"> de </w:t>
      </w:r>
      <w:r w:rsidR="00065D9B">
        <w:rPr>
          <w:rFonts w:ascii="Arial" w:eastAsia="Calibri" w:hAnsi="Arial" w:cs="Arial"/>
          <w:sz w:val="24"/>
        </w:rPr>
        <w:t>maio</w:t>
      </w:r>
      <w:r w:rsidRPr="00F05D17">
        <w:rPr>
          <w:rFonts w:ascii="Arial" w:eastAsia="Calibri" w:hAnsi="Arial" w:cs="Arial"/>
          <w:sz w:val="24"/>
        </w:rPr>
        <w:t xml:space="preserve"> de 2017 e</w:t>
      </w:r>
      <w:r w:rsidR="00D74590">
        <w:rPr>
          <w:rFonts w:ascii="Arial" w:eastAsia="Calibri" w:hAnsi="Arial" w:cs="Arial"/>
          <w:sz w:val="24"/>
        </w:rPr>
        <w:t xml:space="preserve"> o substitutivo ao referido projeto foi apresentado pelo Poder Executivo em 08/05/2017</w:t>
      </w:r>
      <w:r w:rsidR="002E3916">
        <w:rPr>
          <w:rFonts w:ascii="Arial" w:eastAsia="Calibri" w:hAnsi="Arial" w:cs="Arial"/>
          <w:sz w:val="24"/>
        </w:rPr>
        <w:t xml:space="preserve">, que </w:t>
      </w:r>
      <w:r w:rsidR="00045E88">
        <w:rPr>
          <w:rFonts w:ascii="Arial" w:eastAsia="Calibri" w:hAnsi="Arial" w:cs="Arial"/>
          <w:sz w:val="24"/>
        </w:rPr>
        <w:t xml:space="preserve">não altera o texto original, apenas </w:t>
      </w:r>
      <w:r w:rsidR="002E3916">
        <w:rPr>
          <w:rFonts w:ascii="Arial" w:eastAsia="Calibri" w:hAnsi="Arial" w:cs="Arial"/>
          <w:sz w:val="24"/>
        </w:rPr>
        <w:t>junta a estimativa de impacto orçamentário e financeiro e o anexo da LDO de estimativa da compensação e renúncia de receita. T</w:t>
      </w:r>
      <w:r w:rsidRPr="00F05D17">
        <w:rPr>
          <w:rFonts w:ascii="Arial" w:eastAsia="Calibri" w:hAnsi="Arial" w:cs="Arial"/>
          <w:sz w:val="24"/>
        </w:rPr>
        <w:t xml:space="preserve">em como objetivo </w:t>
      </w:r>
      <w:r w:rsidR="00D74590">
        <w:rPr>
          <w:rFonts w:ascii="Arial" w:eastAsia="Calibri" w:hAnsi="Arial" w:cs="Arial"/>
          <w:sz w:val="24"/>
        </w:rPr>
        <w:t xml:space="preserve">a transferência de recursos públicos para cobrir déficits de pessoas jurídicas com a finalidade de </w:t>
      </w:r>
      <w:r w:rsidR="002C4C09">
        <w:rPr>
          <w:rFonts w:ascii="Arial" w:eastAsia="Calibri" w:hAnsi="Arial" w:cs="Arial"/>
          <w:sz w:val="24"/>
        </w:rPr>
        <w:t>conceder benefícios fiscais ou econômicos. Trata-se de subvenção econômica à entidade que se destine à captação de eventos com a finalidade econômica, com a geração de emprego, negócios e turismo do município. Para tanto, além das condições previstas no art. 14 da Lei de Responsabilidade Fiscal</w:t>
      </w:r>
      <w:r w:rsidR="00BD38AB">
        <w:rPr>
          <w:rFonts w:ascii="Arial" w:eastAsia="Calibri" w:hAnsi="Arial" w:cs="Arial"/>
          <w:sz w:val="24"/>
        </w:rPr>
        <w:t>, referente a renuncia de receitas</w:t>
      </w:r>
      <w:r w:rsidR="002C4C09">
        <w:rPr>
          <w:rFonts w:ascii="Arial" w:eastAsia="Calibri" w:hAnsi="Arial" w:cs="Arial"/>
          <w:sz w:val="24"/>
        </w:rPr>
        <w:t>, deverá ser autorizada por lei específica.</w:t>
      </w:r>
      <w:r w:rsidR="003F6E36">
        <w:rPr>
          <w:rFonts w:ascii="Arial" w:eastAsia="Calibri" w:hAnsi="Arial" w:cs="Arial"/>
          <w:sz w:val="24"/>
        </w:rPr>
        <w:t xml:space="preserve"> Em sua justificativa, o Executivo aduz que solicita autorização legislativa para acrescentar inciso IV, ao art. 25 da Lei Municipal 3.502</w:t>
      </w:r>
      <w:r w:rsidR="00BD38AB">
        <w:rPr>
          <w:rFonts w:ascii="Arial" w:eastAsia="Calibri" w:hAnsi="Arial" w:cs="Arial"/>
          <w:sz w:val="24"/>
        </w:rPr>
        <w:t>, de 21 de outubro de 2016, possibilitando assim a transferência de recursos públicos à entidade, através de subvenção econômica.</w:t>
      </w:r>
      <w:r w:rsidR="003F6E36">
        <w:rPr>
          <w:rFonts w:ascii="Arial" w:eastAsia="Calibri" w:hAnsi="Arial" w:cs="Arial"/>
          <w:sz w:val="24"/>
        </w:rPr>
        <w:t xml:space="preserve"> </w:t>
      </w:r>
      <w:r w:rsidR="00BD38AB">
        <w:rPr>
          <w:rFonts w:ascii="Arial" w:eastAsia="Calibri" w:hAnsi="Arial" w:cs="Arial"/>
          <w:sz w:val="24"/>
        </w:rPr>
        <w:t xml:space="preserve">Importa destacar que o presente projeto de lei tramita concomitantemente com outro projeto que busca autorização para que os referidos recursos sejam repassados à Fundação Região das Hortênsias </w:t>
      </w:r>
      <w:proofErr w:type="spellStart"/>
      <w:r w:rsidR="00BD38AB">
        <w:rPr>
          <w:rFonts w:ascii="Arial" w:eastAsia="Calibri" w:hAnsi="Arial" w:cs="Arial"/>
          <w:sz w:val="24"/>
        </w:rPr>
        <w:t>Convention</w:t>
      </w:r>
      <w:proofErr w:type="spellEnd"/>
      <w:r w:rsidR="00BD38AB">
        <w:rPr>
          <w:rFonts w:ascii="Arial" w:eastAsia="Calibri" w:hAnsi="Arial" w:cs="Arial"/>
          <w:sz w:val="24"/>
        </w:rPr>
        <w:t xml:space="preserve"> &amp; </w:t>
      </w:r>
      <w:proofErr w:type="spellStart"/>
      <w:r w:rsidR="00BD38AB">
        <w:rPr>
          <w:rFonts w:ascii="Arial" w:eastAsia="Calibri" w:hAnsi="Arial" w:cs="Arial"/>
          <w:sz w:val="24"/>
        </w:rPr>
        <w:t>Visitors</w:t>
      </w:r>
      <w:proofErr w:type="spellEnd"/>
      <w:r w:rsidR="00BD38AB">
        <w:rPr>
          <w:rFonts w:ascii="Arial" w:eastAsia="Calibri" w:hAnsi="Arial" w:cs="Arial"/>
          <w:sz w:val="24"/>
        </w:rPr>
        <w:t xml:space="preserve"> Bureau, a título de subvenção econômica. </w:t>
      </w:r>
      <w:r w:rsidR="002C4C09">
        <w:rPr>
          <w:rFonts w:ascii="Arial" w:eastAsia="Calibri" w:hAnsi="Arial" w:cs="Arial"/>
          <w:sz w:val="24"/>
        </w:rPr>
        <w:t>O</w:t>
      </w:r>
      <w:r w:rsidR="003F6E36">
        <w:rPr>
          <w:rFonts w:ascii="Arial" w:eastAsia="Calibri" w:hAnsi="Arial" w:cs="Arial"/>
          <w:sz w:val="24"/>
        </w:rPr>
        <w:t xml:space="preserve"> projeto já foi analisado pela Procuradora Geral da C</w:t>
      </w:r>
      <w:r w:rsidR="002C4C09">
        <w:rPr>
          <w:rFonts w:ascii="Arial" w:eastAsia="Calibri" w:hAnsi="Arial" w:cs="Arial"/>
          <w:sz w:val="24"/>
        </w:rPr>
        <w:t>asa, a qual proferiu parecer j</w:t>
      </w:r>
      <w:r w:rsidR="003F6E36">
        <w:rPr>
          <w:rFonts w:ascii="Arial" w:eastAsia="Calibri" w:hAnsi="Arial" w:cs="Arial"/>
          <w:sz w:val="24"/>
        </w:rPr>
        <w:t>urídico favorá</w:t>
      </w:r>
      <w:r w:rsidR="002C4C09">
        <w:rPr>
          <w:rFonts w:ascii="Arial" w:eastAsia="Calibri" w:hAnsi="Arial" w:cs="Arial"/>
          <w:sz w:val="24"/>
        </w:rPr>
        <w:t>vel</w:t>
      </w:r>
      <w:r w:rsidR="003F6E36">
        <w:rPr>
          <w:rFonts w:ascii="Arial" w:eastAsia="Calibri" w:hAnsi="Arial" w:cs="Arial"/>
          <w:sz w:val="24"/>
        </w:rPr>
        <w:t xml:space="preserve"> à tramitação, pois presentes a legalidade e a constitucionalidade.</w:t>
      </w:r>
    </w:p>
    <w:p w:rsidR="00F05D17" w:rsidRPr="00F05D17" w:rsidRDefault="00F05D17" w:rsidP="00F05D17">
      <w:pPr>
        <w:tabs>
          <w:tab w:val="left" w:pos="1418"/>
          <w:tab w:val="left" w:pos="5059"/>
        </w:tabs>
        <w:spacing w:line="276" w:lineRule="auto"/>
        <w:jc w:val="both"/>
        <w:rPr>
          <w:rFonts w:ascii="Arial" w:eastAsia="Calibri" w:hAnsi="Arial" w:cs="Arial"/>
          <w:sz w:val="24"/>
        </w:rPr>
      </w:pPr>
    </w:p>
    <w:p w:rsidR="00AB37CE" w:rsidRDefault="00AB37CE" w:rsidP="00F05D17">
      <w:pPr>
        <w:tabs>
          <w:tab w:val="left" w:pos="1418"/>
          <w:tab w:val="left" w:pos="5059"/>
        </w:tabs>
        <w:spacing w:line="276" w:lineRule="auto"/>
        <w:jc w:val="center"/>
        <w:rPr>
          <w:rFonts w:ascii="Arial" w:eastAsia="Calibri" w:hAnsi="Arial" w:cs="Arial"/>
          <w:b/>
          <w:sz w:val="24"/>
        </w:rPr>
      </w:pPr>
    </w:p>
    <w:p w:rsidR="00AB37CE" w:rsidRDefault="00AB37CE" w:rsidP="00F05D17">
      <w:pPr>
        <w:tabs>
          <w:tab w:val="left" w:pos="1418"/>
          <w:tab w:val="left" w:pos="5059"/>
        </w:tabs>
        <w:spacing w:line="276" w:lineRule="auto"/>
        <w:jc w:val="center"/>
        <w:rPr>
          <w:rFonts w:ascii="Arial" w:eastAsia="Calibri" w:hAnsi="Arial" w:cs="Arial"/>
          <w:b/>
          <w:sz w:val="24"/>
        </w:rPr>
      </w:pPr>
    </w:p>
    <w:p w:rsidR="00AB37CE" w:rsidRDefault="00AB37CE" w:rsidP="00F05D17">
      <w:pPr>
        <w:tabs>
          <w:tab w:val="left" w:pos="1418"/>
          <w:tab w:val="left" w:pos="5059"/>
        </w:tabs>
        <w:spacing w:line="276" w:lineRule="auto"/>
        <w:jc w:val="center"/>
        <w:rPr>
          <w:rFonts w:ascii="Arial" w:eastAsia="Calibri" w:hAnsi="Arial" w:cs="Arial"/>
          <w:b/>
          <w:sz w:val="24"/>
        </w:rPr>
      </w:pPr>
    </w:p>
    <w:p w:rsidR="00F05D17" w:rsidRPr="00F05D17" w:rsidRDefault="00F05D17" w:rsidP="00F05D17">
      <w:pPr>
        <w:tabs>
          <w:tab w:val="left" w:pos="1418"/>
          <w:tab w:val="left" w:pos="5059"/>
        </w:tabs>
        <w:spacing w:line="276" w:lineRule="auto"/>
        <w:jc w:val="center"/>
        <w:rPr>
          <w:rFonts w:ascii="Arial" w:eastAsia="Calibri" w:hAnsi="Arial" w:cs="Arial"/>
          <w:b/>
          <w:sz w:val="24"/>
        </w:rPr>
      </w:pPr>
      <w:r w:rsidRPr="00F05D17">
        <w:rPr>
          <w:rFonts w:ascii="Arial" w:eastAsia="Calibri" w:hAnsi="Arial" w:cs="Arial"/>
          <w:b/>
          <w:sz w:val="24"/>
        </w:rPr>
        <w:t>Análise:</w:t>
      </w:r>
    </w:p>
    <w:p w:rsidR="00F05D17" w:rsidRPr="00F05D17" w:rsidRDefault="00F05D17" w:rsidP="00F05D17">
      <w:pPr>
        <w:tabs>
          <w:tab w:val="left" w:pos="1418"/>
          <w:tab w:val="left" w:pos="5059"/>
        </w:tabs>
        <w:spacing w:line="276" w:lineRule="auto"/>
        <w:jc w:val="center"/>
        <w:rPr>
          <w:rFonts w:ascii="Arial" w:eastAsia="Calibri" w:hAnsi="Arial" w:cs="Arial"/>
          <w:b/>
          <w:sz w:val="24"/>
        </w:rPr>
      </w:pPr>
    </w:p>
    <w:p w:rsidR="00F05D17" w:rsidRPr="00F05D17" w:rsidRDefault="00F05D17" w:rsidP="00F05D17">
      <w:pPr>
        <w:tabs>
          <w:tab w:val="left" w:pos="1701"/>
          <w:tab w:val="left" w:pos="5059"/>
        </w:tabs>
        <w:spacing w:line="276" w:lineRule="auto"/>
        <w:jc w:val="both"/>
        <w:rPr>
          <w:rFonts w:ascii="Arial" w:eastAsia="Calibri" w:hAnsi="Arial" w:cs="Arial"/>
          <w:sz w:val="24"/>
        </w:rPr>
      </w:pPr>
      <w:r w:rsidRPr="00F05D17">
        <w:rPr>
          <w:rFonts w:ascii="Arial" w:eastAsia="Calibri" w:hAnsi="Arial" w:cs="Arial"/>
          <w:sz w:val="24"/>
        </w:rPr>
        <w:t>2.</w:t>
      </w:r>
      <w:r w:rsidRPr="00F05D17">
        <w:rPr>
          <w:rFonts w:ascii="Arial" w:eastAsia="Calibri" w:hAnsi="Arial" w:cs="Arial"/>
          <w:sz w:val="24"/>
        </w:rPr>
        <w:tab/>
        <w:t xml:space="preserve">A proposição está conforme a Constituição Federal, de acordo com que se verifica nos </w:t>
      </w:r>
      <w:proofErr w:type="spellStart"/>
      <w:r w:rsidRPr="00F05D17">
        <w:rPr>
          <w:rFonts w:ascii="Arial" w:eastAsia="Calibri" w:hAnsi="Arial" w:cs="Arial"/>
          <w:sz w:val="24"/>
        </w:rPr>
        <w:t>arts</w:t>
      </w:r>
      <w:proofErr w:type="spellEnd"/>
      <w:r w:rsidRPr="00F05D17">
        <w:rPr>
          <w:rFonts w:ascii="Arial" w:eastAsia="Calibri" w:hAnsi="Arial" w:cs="Arial"/>
          <w:sz w:val="24"/>
        </w:rPr>
        <w:t xml:space="preserve">. </w:t>
      </w:r>
      <w:r w:rsidR="00BD38AB">
        <w:rPr>
          <w:rFonts w:ascii="Arial" w:eastAsia="Calibri" w:hAnsi="Arial" w:cs="Arial"/>
          <w:sz w:val="24"/>
        </w:rPr>
        <w:t>30, I; 165, II, §2º</w:t>
      </w:r>
      <w:r w:rsidRPr="00F05D17">
        <w:rPr>
          <w:rFonts w:ascii="Arial" w:eastAsia="Calibri" w:hAnsi="Arial" w:cs="Arial"/>
          <w:sz w:val="24"/>
        </w:rPr>
        <w:t xml:space="preserve">. </w:t>
      </w:r>
    </w:p>
    <w:p w:rsidR="00F05D17" w:rsidRPr="00F05D17" w:rsidRDefault="00F05D17" w:rsidP="00F05D17">
      <w:pPr>
        <w:tabs>
          <w:tab w:val="left" w:pos="1418"/>
          <w:tab w:val="left" w:pos="5059"/>
        </w:tabs>
        <w:spacing w:line="276" w:lineRule="auto"/>
        <w:ind w:firstLine="1701"/>
        <w:jc w:val="both"/>
        <w:rPr>
          <w:rFonts w:ascii="Arial" w:eastAsia="Calibri" w:hAnsi="Arial" w:cs="Arial"/>
          <w:sz w:val="24"/>
        </w:rPr>
      </w:pPr>
    </w:p>
    <w:p w:rsidR="00F05D17" w:rsidRDefault="00F05D17" w:rsidP="00F05D17">
      <w:pPr>
        <w:tabs>
          <w:tab w:val="left" w:pos="1418"/>
          <w:tab w:val="left" w:pos="5059"/>
        </w:tabs>
        <w:spacing w:line="276" w:lineRule="auto"/>
        <w:ind w:firstLine="1701"/>
        <w:jc w:val="both"/>
        <w:rPr>
          <w:rFonts w:ascii="Arial" w:eastAsia="Calibri" w:hAnsi="Arial" w:cs="Arial"/>
          <w:sz w:val="24"/>
        </w:rPr>
      </w:pPr>
      <w:r w:rsidRPr="00F05D17">
        <w:rPr>
          <w:rFonts w:ascii="Arial" w:eastAsia="Calibri" w:hAnsi="Arial" w:cs="Arial"/>
          <w:sz w:val="24"/>
        </w:rPr>
        <w:t>Observa-se, ainda, que a matéria trata de assunto de interesse local, atendendo ao disposto no inciso I do art. 30 da Constituição Federal, quanto à competência do Município.</w:t>
      </w:r>
    </w:p>
    <w:p w:rsidR="00BD38AB" w:rsidRPr="00F05D17" w:rsidRDefault="00BD38AB" w:rsidP="00F05D17">
      <w:pPr>
        <w:tabs>
          <w:tab w:val="left" w:pos="1418"/>
          <w:tab w:val="left" w:pos="5059"/>
        </w:tabs>
        <w:spacing w:line="276" w:lineRule="auto"/>
        <w:ind w:firstLine="1701"/>
        <w:jc w:val="both"/>
        <w:rPr>
          <w:rFonts w:ascii="Arial" w:eastAsia="Calibri" w:hAnsi="Arial" w:cs="Arial"/>
          <w:sz w:val="24"/>
        </w:rPr>
      </w:pPr>
      <w:r>
        <w:rPr>
          <w:rFonts w:ascii="Arial" w:eastAsia="Calibri" w:hAnsi="Arial" w:cs="Arial"/>
          <w:sz w:val="24"/>
        </w:rPr>
        <w:t>No que tange ao art. 165, II, §2º, é que a LDO compreende a metas e prioridades da administração pública para o exercício financeiro subsequente e orientará a elaboração da Lei Orçamentária anual</w:t>
      </w:r>
      <w:r w:rsidR="007918F3">
        <w:rPr>
          <w:rFonts w:ascii="Arial" w:eastAsia="Calibri" w:hAnsi="Arial" w:cs="Arial"/>
          <w:sz w:val="24"/>
        </w:rPr>
        <w:t>. Assim, necessário incluir nos anexos da LDO, a subvenção econômica como despesa de caráter continuado, demonstrando a despesa gerada e a forma que a Administração irá equacionar os investimentos dentro de seus programas.</w:t>
      </w:r>
    </w:p>
    <w:p w:rsidR="00F05D17" w:rsidRPr="00F05D17" w:rsidRDefault="00F05D17" w:rsidP="00F05D17">
      <w:pPr>
        <w:tabs>
          <w:tab w:val="left" w:pos="1418"/>
          <w:tab w:val="left" w:pos="5059"/>
        </w:tabs>
        <w:spacing w:line="276" w:lineRule="auto"/>
        <w:jc w:val="both"/>
        <w:rPr>
          <w:rFonts w:ascii="Arial" w:eastAsia="Calibri" w:hAnsi="Arial" w:cs="Arial"/>
          <w:sz w:val="24"/>
        </w:rPr>
      </w:pPr>
    </w:p>
    <w:p w:rsidR="00F05D17" w:rsidRPr="00F05D17" w:rsidRDefault="00F05D17" w:rsidP="00F05D17">
      <w:pPr>
        <w:tabs>
          <w:tab w:val="left" w:pos="1701"/>
          <w:tab w:val="left" w:pos="5059"/>
        </w:tabs>
        <w:spacing w:line="276" w:lineRule="auto"/>
        <w:jc w:val="both"/>
        <w:rPr>
          <w:rFonts w:ascii="Arial" w:eastAsia="Calibri" w:hAnsi="Arial" w:cs="Arial"/>
          <w:sz w:val="24"/>
        </w:rPr>
      </w:pPr>
      <w:r w:rsidRPr="00F05D17">
        <w:rPr>
          <w:rFonts w:ascii="Arial" w:eastAsia="Calibri" w:hAnsi="Arial" w:cs="Arial"/>
          <w:sz w:val="24"/>
        </w:rPr>
        <w:t xml:space="preserve"> </w:t>
      </w:r>
      <w:r w:rsidRPr="00F05D17">
        <w:rPr>
          <w:rFonts w:ascii="Arial" w:eastAsia="Calibri" w:hAnsi="Arial" w:cs="Arial"/>
          <w:sz w:val="24"/>
        </w:rPr>
        <w:tab/>
        <w:t xml:space="preserve">Quanto à iniciativa para deflagrar o processo legislativo, o Projeto de Lei em questão </w:t>
      </w:r>
      <w:r w:rsidR="007918F3">
        <w:rPr>
          <w:rFonts w:ascii="Arial" w:eastAsia="Calibri" w:hAnsi="Arial" w:cs="Arial"/>
          <w:sz w:val="24"/>
        </w:rPr>
        <w:t>encontra</w:t>
      </w:r>
      <w:r w:rsidRPr="00F05D17">
        <w:rPr>
          <w:rFonts w:ascii="Arial" w:eastAsia="Calibri" w:hAnsi="Arial" w:cs="Arial"/>
          <w:sz w:val="24"/>
        </w:rPr>
        <w:t>-se corretamente proposto, considerando que o assunto nele tratado consta nas atribuições do Prefeito previstas no art.</w:t>
      </w:r>
      <w:r w:rsidR="004A408F">
        <w:rPr>
          <w:rFonts w:ascii="Arial" w:eastAsia="Calibri" w:hAnsi="Arial" w:cs="Arial"/>
          <w:sz w:val="24"/>
        </w:rPr>
        <w:t xml:space="preserve"> </w:t>
      </w:r>
      <w:r w:rsidR="007918F3">
        <w:rPr>
          <w:rFonts w:ascii="Arial" w:eastAsia="Calibri" w:hAnsi="Arial" w:cs="Arial"/>
          <w:sz w:val="24"/>
        </w:rPr>
        <w:t>60, XII,</w:t>
      </w:r>
      <w:r w:rsidRPr="00F05D17">
        <w:rPr>
          <w:rFonts w:ascii="Arial" w:eastAsia="Calibri" w:hAnsi="Arial" w:cs="Arial"/>
          <w:sz w:val="24"/>
        </w:rPr>
        <w:t xml:space="preserve"> da Lei Orgânica do Município</w:t>
      </w:r>
      <w:r w:rsidR="007918F3">
        <w:rPr>
          <w:rFonts w:ascii="Arial" w:eastAsia="Calibri" w:hAnsi="Arial" w:cs="Arial"/>
          <w:sz w:val="24"/>
        </w:rPr>
        <w:t xml:space="preserve"> e por simetria, o art. 61, §1º, II, b, da Constituição Federal</w:t>
      </w:r>
      <w:r w:rsidRPr="00F05D17">
        <w:rPr>
          <w:rFonts w:ascii="Arial" w:eastAsia="Calibri" w:hAnsi="Arial" w:cs="Arial"/>
          <w:sz w:val="24"/>
        </w:rPr>
        <w:t>.</w:t>
      </w:r>
    </w:p>
    <w:p w:rsidR="00F05D17" w:rsidRPr="00F05D17" w:rsidRDefault="00F05D17" w:rsidP="00F05D17">
      <w:pPr>
        <w:tabs>
          <w:tab w:val="left" w:pos="1418"/>
          <w:tab w:val="left" w:pos="5059"/>
        </w:tabs>
        <w:spacing w:line="276" w:lineRule="auto"/>
        <w:jc w:val="both"/>
        <w:rPr>
          <w:rFonts w:ascii="Arial" w:eastAsia="Calibri" w:hAnsi="Arial" w:cs="Arial"/>
          <w:sz w:val="24"/>
        </w:rPr>
      </w:pPr>
    </w:p>
    <w:p w:rsidR="00F05D17" w:rsidRPr="00F05D17" w:rsidRDefault="00F05D17" w:rsidP="00F05D17">
      <w:pPr>
        <w:tabs>
          <w:tab w:val="left" w:pos="1701"/>
          <w:tab w:val="left" w:pos="5059"/>
        </w:tabs>
        <w:spacing w:line="276" w:lineRule="auto"/>
        <w:jc w:val="both"/>
        <w:rPr>
          <w:rFonts w:ascii="Arial" w:eastAsia="Calibri" w:hAnsi="Arial" w:cs="Arial"/>
          <w:i/>
          <w:sz w:val="24"/>
        </w:rPr>
      </w:pPr>
      <w:r w:rsidRPr="00F05D17">
        <w:rPr>
          <w:rFonts w:ascii="Arial" w:eastAsia="Calibri" w:hAnsi="Arial" w:cs="Arial"/>
          <w:sz w:val="24"/>
        </w:rPr>
        <w:t>3.</w:t>
      </w:r>
      <w:r w:rsidRPr="00F05D17">
        <w:rPr>
          <w:rFonts w:ascii="Arial" w:eastAsia="Calibri" w:hAnsi="Arial" w:cs="Arial"/>
          <w:sz w:val="24"/>
        </w:rPr>
        <w:tab/>
        <w:t xml:space="preserve">Em relação à técnica legislativa, tendo em conta o que dispõe a Lei Complementar nº 95, de 26 de fevereiro de 1998, que </w:t>
      </w:r>
      <w:r w:rsidR="00F20777">
        <w:rPr>
          <w:rFonts w:ascii="Arial" w:eastAsia="Calibri" w:hAnsi="Arial" w:cs="Arial"/>
          <w:sz w:val="24"/>
        </w:rPr>
        <w:t>trata</w:t>
      </w:r>
      <w:r w:rsidRPr="00F05D17">
        <w:rPr>
          <w:rFonts w:ascii="Arial" w:eastAsia="Calibri" w:hAnsi="Arial" w:cs="Arial"/>
          <w:sz w:val="24"/>
        </w:rPr>
        <w:t xml:space="preserve"> </w:t>
      </w:r>
      <w:r w:rsidR="00F20777">
        <w:rPr>
          <w:rFonts w:ascii="Arial" w:eastAsia="Calibri" w:hAnsi="Arial" w:cs="Arial"/>
          <w:sz w:val="24"/>
        </w:rPr>
        <w:t>d</w:t>
      </w:r>
      <w:r w:rsidRPr="00F05D17">
        <w:rPr>
          <w:rFonts w:ascii="Arial" w:eastAsia="Calibri" w:hAnsi="Arial" w:cs="Arial"/>
          <w:sz w:val="24"/>
        </w:rPr>
        <w:t xml:space="preserve">as normas para elaboração, redação, alteração e consolidação de leis, </w:t>
      </w:r>
      <w:proofErr w:type="gramStart"/>
      <w:r w:rsidRPr="00F05D17">
        <w:rPr>
          <w:rFonts w:ascii="Arial" w:eastAsia="Calibri" w:hAnsi="Arial" w:cs="Arial"/>
          <w:sz w:val="24"/>
        </w:rPr>
        <w:t>destaca-se</w:t>
      </w:r>
      <w:proofErr w:type="gramEnd"/>
      <w:r w:rsidRPr="00F05D17">
        <w:rPr>
          <w:rFonts w:ascii="Arial" w:eastAsia="Calibri" w:hAnsi="Arial" w:cs="Arial"/>
          <w:sz w:val="24"/>
        </w:rPr>
        <w:t xml:space="preserve"> </w:t>
      </w:r>
      <w:r w:rsidR="007918F3">
        <w:rPr>
          <w:rFonts w:ascii="Arial" w:eastAsia="Calibri" w:hAnsi="Arial" w:cs="Arial"/>
          <w:sz w:val="24"/>
        </w:rPr>
        <w:t>que o Projeto segue as normas técnicas da</w:t>
      </w:r>
      <w:r w:rsidRPr="00F05D17">
        <w:rPr>
          <w:rFonts w:ascii="Arial" w:eastAsia="Calibri" w:hAnsi="Arial" w:cs="Arial"/>
          <w:sz w:val="24"/>
        </w:rPr>
        <w:t xml:space="preserve"> Lei Complementar n</w:t>
      </w:r>
      <w:r w:rsidRPr="00F05D17">
        <w:rPr>
          <w:rFonts w:ascii="Arial" w:eastAsia="Calibri" w:hAnsi="Arial" w:cs="Arial"/>
          <w:strike/>
          <w:sz w:val="24"/>
        </w:rPr>
        <w:t>º</w:t>
      </w:r>
      <w:r w:rsidRPr="00F05D17">
        <w:rPr>
          <w:rFonts w:ascii="Arial" w:eastAsia="Calibri" w:hAnsi="Arial" w:cs="Arial"/>
          <w:sz w:val="24"/>
        </w:rPr>
        <w:t xml:space="preserve"> 95, de 1998</w:t>
      </w:r>
      <w:r w:rsidR="007918F3">
        <w:rPr>
          <w:rFonts w:ascii="Arial" w:eastAsia="Calibri" w:hAnsi="Arial" w:cs="Arial"/>
          <w:sz w:val="24"/>
        </w:rPr>
        <w:t xml:space="preserve">, </w:t>
      </w:r>
      <w:r w:rsidR="004A408F">
        <w:rPr>
          <w:rFonts w:ascii="Arial" w:eastAsia="Calibri" w:hAnsi="Arial" w:cs="Arial"/>
          <w:sz w:val="24"/>
        </w:rPr>
        <w:t>no que tange a estruturação, articulação e redação das leis.</w:t>
      </w:r>
    </w:p>
    <w:p w:rsidR="00F05D17" w:rsidRPr="00F05D17" w:rsidRDefault="00F05D17" w:rsidP="00F05D17">
      <w:pPr>
        <w:tabs>
          <w:tab w:val="left" w:pos="1701"/>
          <w:tab w:val="left" w:pos="5059"/>
        </w:tabs>
        <w:spacing w:line="276" w:lineRule="auto"/>
        <w:jc w:val="both"/>
        <w:rPr>
          <w:rFonts w:ascii="Arial" w:eastAsia="Calibri" w:hAnsi="Arial" w:cs="Arial"/>
          <w:sz w:val="24"/>
        </w:rPr>
      </w:pPr>
    </w:p>
    <w:p w:rsidR="00F05D17" w:rsidRDefault="00F05D17" w:rsidP="00F05D17">
      <w:pPr>
        <w:tabs>
          <w:tab w:val="left" w:pos="1701"/>
          <w:tab w:val="left" w:pos="5059"/>
        </w:tabs>
        <w:spacing w:line="276" w:lineRule="auto"/>
        <w:jc w:val="both"/>
        <w:rPr>
          <w:rFonts w:ascii="Arial" w:eastAsia="Calibri" w:hAnsi="Arial" w:cs="Arial"/>
          <w:sz w:val="24"/>
        </w:rPr>
      </w:pPr>
      <w:r w:rsidRPr="00F05D17">
        <w:rPr>
          <w:rFonts w:ascii="Arial" w:eastAsia="Calibri" w:hAnsi="Arial" w:cs="Arial"/>
          <w:sz w:val="24"/>
        </w:rPr>
        <w:t>4.</w:t>
      </w:r>
      <w:r w:rsidRPr="00F05D17">
        <w:rPr>
          <w:rFonts w:ascii="Arial" w:eastAsia="Calibri" w:hAnsi="Arial" w:cs="Arial"/>
          <w:sz w:val="24"/>
        </w:rPr>
        <w:tab/>
        <w:t>No tocante ao recebimento em regime de urgência, a justificativa da urgência se apresentou na medida em que</w:t>
      </w:r>
      <w:r w:rsidR="004A408F">
        <w:rPr>
          <w:rFonts w:ascii="Arial" w:eastAsia="Calibri" w:hAnsi="Arial" w:cs="Arial"/>
          <w:sz w:val="24"/>
        </w:rPr>
        <w:t xml:space="preserve">, como já mencionado, a proposição tramita concomitantemente com outro projeto de iniciativa do Poder Executivo que busca autorização desta Egrégia Câmara Municipal, para que recursos públicos sejam repassados a Fundação Região das Hortênsias </w:t>
      </w:r>
      <w:proofErr w:type="spellStart"/>
      <w:r w:rsidR="004A408F">
        <w:rPr>
          <w:rFonts w:ascii="Arial" w:eastAsia="Calibri" w:hAnsi="Arial" w:cs="Arial"/>
          <w:sz w:val="24"/>
        </w:rPr>
        <w:t>Convention</w:t>
      </w:r>
      <w:proofErr w:type="spellEnd"/>
      <w:r w:rsidR="004A408F">
        <w:rPr>
          <w:rFonts w:ascii="Arial" w:eastAsia="Calibri" w:hAnsi="Arial" w:cs="Arial"/>
          <w:sz w:val="24"/>
        </w:rPr>
        <w:t xml:space="preserve"> &amp; </w:t>
      </w:r>
      <w:proofErr w:type="spellStart"/>
      <w:r w:rsidR="004A408F">
        <w:rPr>
          <w:rFonts w:ascii="Arial" w:eastAsia="Calibri" w:hAnsi="Arial" w:cs="Arial"/>
          <w:sz w:val="24"/>
        </w:rPr>
        <w:t>Visitors</w:t>
      </w:r>
      <w:proofErr w:type="spellEnd"/>
      <w:r w:rsidR="004A408F">
        <w:rPr>
          <w:rFonts w:ascii="Arial" w:eastAsia="Calibri" w:hAnsi="Arial" w:cs="Arial"/>
          <w:sz w:val="24"/>
        </w:rPr>
        <w:t xml:space="preserve"> Bureau, a título de subvenção econômica para a manutenção e o fomento da atividade de captação de eventos desenvolvida pela entidade em benefício do turismo </w:t>
      </w:r>
      <w:proofErr w:type="spellStart"/>
      <w:r w:rsidR="004A408F">
        <w:rPr>
          <w:rFonts w:ascii="Arial" w:eastAsia="Calibri" w:hAnsi="Arial" w:cs="Arial"/>
          <w:sz w:val="24"/>
        </w:rPr>
        <w:t>gramadense</w:t>
      </w:r>
      <w:proofErr w:type="spellEnd"/>
      <w:r w:rsidR="004A408F">
        <w:rPr>
          <w:rFonts w:ascii="Arial" w:eastAsia="Calibri" w:hAnsi="Arial" w:cs="Arial"/>
          <w:sz w:val="24"/>
        </w:rPr>
        <w:t xml:space="preserve">, uma vez que </w:t>
      </w:r>
      <w:r w:rsidR="004A408F">
        <w:rPr>
          <w:rFonts w:ascii="Arial" w:eastAsia="Calibri" w:hAnsi="Arial" w:cs="Arial"/>
          <w:sz w:val="24"/>
        </w:rPr>
        <w:lastRenderedPageBreak/>
        <w:t xml:space="preserve">visa incrementar o setor turístico, unindo negócios a lazer e movimentando todos os setores </w:t>
      </w:r>
      <w:r w:rsidR="00500FA5">
        <w:rPr>
          <w:rFonts w:ascii="Arial" w:eastAsia="Calibri" w:hAnsi="Arial" w:cs="Arial"/>
          <w:sz w:val="24"/>
        </w:rPr>
        <w:t>econômicos do município.</w:t>
      </w:r>
    </w:p>
    <w:p w:rsidR="0046311A" w:rsidRDefault="0046311A" w:rsidP="00F05D17">
      <w:pPr>
        <w:tabs>
          <w:tab w:val="left" w:pos="1701"/>
          <w:tab w:val="left" w:pos="5059"/>
        </w:tabs>
        <w:spacing w:line="276" w:lineRule="auto"/>
        <w:jc w:val="both"/>
        <w:rPr>
          <w:rFonts w:ascii="Arial" w:eastAsia="Calibri" w:hAnsi="Arial" w:cs="Arial"/>
          <w:sz w:val="24"/>
        </w:rPr>
      </w:pPr>
    </w:p>
    <w:p w:rsidR="0046311A" w:rsidRDefault="0046311A" w:rsidP="0046311A">
      <w:pPr>
        <w:tabs>
          <w:tab w:val="left" w:pos="1701"/>
          <w:tab w:val="left" w:pos="5059"/>
        </w:tabs>
        <w:spacing w:line="276" w:lineRule="auto"/>
        <w:jc w:val="center"/>
        <w:rPr>
          <w:rFonts w:ascii="Arial" w:eastAsia="Calibri" w:hAnsi="Arial" w:cs="Arial"/>
          <w:b/>
          <w:sz w:val="24"/>
        </w:rPr>
      </w:pPr>
      <w:r>
        <w:rPr>
          <w:rFonts w:ascii="Arial" w:eastAsia="Calibri" w:hAnsi="Arial" w:cs="Arial"/>
          <w:b/>
          <w:sz w:val="24"/>
        </w:rPr>
        <w:t>Emenda:</w:t>
      </w:r>
    </w:p>
    <w:p w:rsidR="0046311A" w:rsidRDefault="0046311A" w:rsidP="004D23D1">
      <w:pPr>
        <w:spacing w:line="276" w:lineRule="auto"/>
        <w:ind w:firstLine="2268"/>
        <w:jc w:val="both"/>
        <w:rPr>
          <w:rFonts w:ascii="Arial" w:hAnsi="Arial" w:cs="Arial"/>
          <w:sz w:val="24"/>
          <w:szCs w:val="24"/>
        </w:rPr>
      </w:pPr>
      <w:r>
        <w:rPr>
          <w:rFonts w:ascii="Arial" w:hAnsi="Arial" w:cs="Arial"/>
          <w:sz w:val="24"/>
          <w:szCs w:val="24"/>
        </w:rPr>
        <w:t xml:space="preserve">Conforme Parecer Jurídico nº 19/2017, a </w:t>
      </w:r>
      <w:r w:rsidRPr="0046311A">
        <w:rPr>
          <w:rFonts w:ascii="Arial" w:hAnsi="Arial" w:cs="Arial"/>
          <w:b/>
          <w:sz w:val="24"/>
          <w:szCs w:val="24"/>
          <w:u w:val="single"/>
        </w:rPr>
        <w:t>Ementa</w:t>
      </w:r>
      <w:r>
        <w:rPr>
          <w:rFonts w:ascii="Arial" w:hAnsi="Arial" w:cs="Arial"/>
          <w:sz w:val="24"/>
          <w:szCs w:val="24"/>
        </w:rPr>
        <w:t xml:space="preserve"> </w:t>
      </w:r>
      <w:r w:rsidR="004D23D1">
        <w:rPr>
          <w:rFonts w:ascii="Arial" w:hAnsi="Arial" w:cs="Arial"/>
          <w:sz w:val="24"/>
          <w:szCs w:val="24"/>
        </w:rPr>
        <w:t xml:space="preserve">e o </w:t>
      </w:r>
      <w:r w:rsidR="004D23D1" w:rsidRPr="004D23D1">
        <w:rPr>
          <w:rFonts w:ascii="Arial" w:hAnsi="Arial" w:cs="Arial"/>
          <w:b/>
          <w:sz w:val="24"/>
          <w:szCs w:val="24"/>
          <w:u w:val="single"/>
        </w:rPr>
        <w:t>art. 2º</w:t>
      </w:r>
      <w:r w:rsidR="004D23D1">
        <w:rPr>
          <w:rFonts w:ascii="Arial" w:hAnsi="Arial" w:cs="Arial"/>
          <w:sz w:val="24"/>
          <w:szCs w:val="24"/>
        </w:rPr>
        <w:t xml:space="preserve"> </w:t>
      </w:r>
      <w:r>
        <w:rPr>
          <w:rFonts w:ascii="Arial" w:hAnsi="Arial" w:cs="Arial"/>
          <w:sz w:val="24"/>
          <w:szCs w:val="24"/>
        </w:rPr>
        <w:t>do PL 11/2017 deve</w:t>
      </w:r>
      <w:r w:rsidR="004D23D1">
        <w:rPr>
          <w:rFonts w:ascii="Arial" w:hAnsi="Arial" w:cs="Arial"/>
          <w:sz w:val="24"/>
          <w:szCs w:val="24"/>
        </w:rPr>
        <w:t>m</w:t>
      </w:r>
      <w:r>
        <w:rPr>
          <w:rFonts w:ascii="Arial" w:hAnsi="Arial" w:cs="Arial"/>
          <w:sz w:val="24"/>
          <w:szCs w:val="24"/>
        </w:rPr>
        <w:t xml:space="preserve"> ser emendad</w:t>
      </w:r>
      <w:r w:rsidR="004D23D1">
        <w:rPr>
          <w:rFonts w:ascii="Arial" w:hAnsi="Arial" w:cs="Arial"/>
          <w:sz w:val="24"/>
          <w:szCs w:val="24"/>
        </w:rPr>
        <w:t>os</w:t>
      </w:r>
      <w:r>
        <w:rPr>
          <w:rFonts w:ascii="Arial" w:hAnsi="Arial" w:cs="Arial"/>
          <w:sz w:val="24"/>
          <w:szCs w:val="24"/>
        </w:rPr>
        <w:t>, para incluir a alteração do Anexo III da LDO – Anexo das metas fiscais – estimativa e compensação da renuncia de receita</w:t>
      </w:r>
      <w:r w:rsidR="004D23D1">
        <w:rPr>
          <w:rFonts w:ascii="Arial" w:hAnsi="Arial" w:cs="Arial"/>
          <w:sz w:val="24"/>
          <w:szCs w:val="24"/>
        </w:rPr>
        <w:t>. Assim, a EMENTA</w:t>
      </w:r>
      <w:proofErr w:type="gramStart"/>
      <w:r w:rsidR="004D23D1">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passa a vigorar da seguinte forma:</w:t>
      </w:r>
    </w:p>
    <w:p w:rsidR="0046311A" w:rsidRDefault="0046311A" w:rsidP="004D23D1">
      <w:pPr>
        <w:spacing w:line="276" w:lineRule="auto"/>
        <w:ind w:firstLine="2268"/>
        <w:jc w:val="both"/>
        <w:rPr>
          <w:rFonts w:ascii="Arial" w:hAnsi="Arial" w:cs="Arial"/>
          <w:sz w:val="24"/>
          <w:szCs w:val="24"/>
        </w:rPr>
      </w:pPr>
      <w:r>
        <w:rPr>
          <w:rFonts w:ascii="Arial" w:hAnsi="Arial" w:cs="Arial"/>
          <w:sz w:val="24"/>
          <w:szCs w:val="24"/>
        </w:rPr>
        <w:t>“Altera dispositivo da Lei Municipal nº 3.502 de 21 de outubro de 2016, que dispõe sobre as diretrizes para elaboração e execução da Lei Orçamentária de 2017 e altera o Anexo III – Anexo de Metas Fiscais, alínea “h” – estimativa e compensação da renúncia de receita”.</w:t>
      </w:r>
    </w:p>
    <w:p w:rsidR="0046311A" w:rsidRDefault="0046311A" w:rsidP="004D23D1">
      <w:pPr>
        <w:spacing w:line="276" w:lineRule="auto"/>
        <w:ind w:firstLine="2268"/>
        <w:jc w:val="both"/>
        <w:rPr>
          <w:rFonts w:ascii="Arial" w:hAnsi="Arial" w:cs="Arial"/>
          <w:sz w:val="24"/>
          <w:szCs w:val="24"/>
        </w:rPr>
      </w:pPr>
      <w:r>
        <w:rPr>
          <w:rFonts w:ascii="Arial" w:hAnsi="Arial" w:cs="Arial"/>
          <w:sz w:val="24"/>
          <w:szCs w:val="24"/>
        </w:rPr>
        <w:t xml:space="preserve">Também, o art. 2º do Projeto de Lei deve ser alterado e acrescido, passando a vigorar com a seguinte redação: </w:t>
      </w:r>
    </w:p>
    <w:p w:rsidR="0046311A" w:rsidRDefault="0046311A" w:rsidP="004D23D1">
      <w:pPr>
        <w:spacing w:line="276" w:lineRule="auto"/>
        <w:ind w:firstLine="2268"/>
        <w:jc w:val="both"/>
        <w:rPr>
          <w:rFonts w:ascii="Arial" w:hAnsi="Arial" w:cs="Arial"/>
          <w:sz w:val="24"/>
          <w:szCs w:val="24"/>
        </w:rPr>
      </w:pPr>
      <w:proofErr w:type="gramStart"/>
      <w:r>
        <w:rPr>
          <w:rFonts w:ascii="Arial" w:hAnsi="Arial" w:cs="Arial"/>
          <w:sz w:val="24"/>
          <w:szCs w:val="24"/>
        </w:rPr>
        <w:t>“Art. 2º Inclui no Anexo III, Anexo das metas Fiscais, alínea “h”, estimativa e compensação da renúncia de receita, a seguinte redação:</w:t>
      </w:r>
    </w:p>
    <w:tbl>
      <w:tblPr>
        <w:tblStyle w:val="Tabelacomgrade"/>
        <w:tblW w:w="0" w:type="auto"/>
        <w:tblLook w:val="04A0" w:firstRow="1" w:lastRow="0" w:firstColumn="1" w:lastColumn="0" w:noHBand="0" w:noVBand="1"/>
      </w:tblPr>
      <w:tblGrid>
        <w:gridCol w:w="1950"/>
        <w:gridCol w:w="2865"/>
        <w:gridCol w:w="2551"/>
        <w:gridCol w:w="2137"/>
      </w:tblGrid>
      <w:tr w:rsidR="0046311A" w:rsidTr="0046311A">
        <w:tc>
          <w:tcPr>
            <w:tcW w:w="1950" w:type="dxa"/>
          </w:tcPr>
          <w:p w:rsidR="0046311A" w:rsidRPr="00A25BE2" w:rsidRDefault="0046311A" w:rsidP="0046311A">
            <w:pPr>
              <w:spacing w:line="360" w:lineRule="auto"/>
              <w:jc w:val="both"/>
              <w:rPr>
                <w:rFonts w:ascii="Arial" w:hAnsi="Arial" w:cs="Arial"/>
                <w:b/>
                <w:sz w:val="24"/>
                <w:szCs w:val="24"/>
              </w:rPr>
            </w:pPr>
            <w:proofErr w:type="gramEnd"/>
            <w:r w:rsidRPr="00A25BE2">
              <w:rPr>
                <w:rFonts w:ascii="Arial" w:hAnsi="Arial" w:cs="Arial"/>
                <w:b/>
                <w:sz w:val="24"/>
                <w:szCs w:val="24"/>
              </w:rPr>
              <w:t>TRIBUTOS</w:t>
            </w:r>
          </w:p>
        </w:tc>
        <w:tc>
          <w:tcPr>
            <w:tcW w:w="2865" w:type="dxa"/>
          </w:tcPr>
          <w:p w:rsidR="0046311A" w:rsidRPr="00A25BE2" w:rsidRDefault="0046311A" w:rsidP="0046311A">
            <w:pPr>
              <w:spacing w:line="360" w:lineRule="auto"/>
              <w:jc w:val="both"/>
              <w:rPr>
                <w:rFonts w:ascii="Arial" w:hAnsi="Arial" w:cs="Arial"/>
                <w:b/>
                <w:sz w:val="24"/>
                <w:szCs w:val="24"/>
              </w:rPr>
            </w:pPr>
            <w:r w:rsidRPr="00A25BE2">
              <w:rPr>
                <w:rFonts w:ascii="Arial" w:hAnsi="Arial" w:cs="Arial"/>
                <w:b/>
                <w:sz w:val="24"/>
                <w:szCs w:val="24"/>
              </w:rPr>
              <w:t>SETORES/</w:t>
            </w:r>
          </w:p>
          <w:p w:rsidR="0046311A" w:rsidRPr="00A25BE2" w:rsidRDefault="0046311A" w:rsidP="0046311A">
            <w:pPr>
              <w:spacing w:line="360" w:lineRule="auto"/>
              <w:jc w:val="both"/>
              <w:rPr>
                <w:rFonts w:ascii="Arial" w:hAnsi="Arial" w:cs="Arial"/>
                <w:b/>
                <w:sz w:val="24"/>
                <w:szCs w:val="24"/>
              </w:rPr>
            </w:pPr>
            <w:r w:rsidRPr="00A25BE2">
              <w:rPr>
                <w:rFonts w:ascii="Arial" w:hAnsi="Arial" w:cs="Arial"/>
                <w:b/>
                <w:sz w:val="24"/>
                <w:szCs w:val="24"/>
              </w:rPr>
              <w:t>PROGRAMAS/</w:t>
            </w:r>
          </w:p>
          <w:p w:rsidR="0046311A" w:rsidRPr="00A25BE2" w:rsidRDefault="0046311A" w:rsidP="0046311A">
            <w:pPr>
              <w:spacing w:line="360" w:lineRule="auto"/>
              <w:jc w:val="both"/>
              <w:rPr>
                <w:rFonts w:ascii="Arial" w:hAnsi="Arial" w:cs="Arial"/>
                <w:b/>
                <w:sz w:val="24"/>
                <w:szCs w:val="24"/>
              </w:rPr>
            </w:pPr>
            <w:r w:rsidRPr="00A25BE2">
              <w:rPr>
                <w:rFonts w:ascii="Arial" w:hAnsi="Arial" w:cs="Arial"/>
                <w:b/>
                <w:sz w:val="24"/>
                <w:szCs w:val="24"/>
              </w:rPr>
              <w:t>BENEFICIÁRIO</w:t>
            </w:r>
          </w:p>
        </w:tc>
        <w:tc>
          <w:tcPr>
            <w:tcW w:w="2551" w:type="dxa"/>
          </w:tcPr>
          <w:p w:rsidR="0046311A" w:rsidRPr="00A25BE2" w:rsidRDefault="0046311A" w:rsidP="0046311A">
            <w:pPr>
              <w:spacing w:line="360" w:lineRule="auto"/>
              <w:jc w:val="both"/>
              <w:rPr>
                <w:rFonts w:ascii="Arial" w:hAnsi="Arial" w:cs="Arial"/>
                <w:b/>
                <w:sz w:val="24"/>
                <w:szCs w:val="24"/>
              </w:rPr>
            </w:pPr>
            <w:r w:rsidRPr="00A25BE2">
              <w:rPr>
                <w:rFonts w:ascii="Arial" w:hAnsi="Arial" w:cs="Arial"/>
                <w:b/>
                <w:sz w:val="24"/>
                <w:szCs w:val="24"/>
              </w:rPr>
              <w:t>RENUNCIA DE RECEITA PREVISTA</w:t>
            </w:r>
          </w:p>
        </w:tc>
        <w:tc>
          <w:tcPr>
            <w:tcW w:w="1980" w:type="dxa"/>
          </w:tcPr>
          <w:p w:rsidR="0046311A" w:rsidRPr="00A25BE2" w:rsidRDefault="0046311A" w:rsidP="0046311A">
            <w:pPr>
              <w:spacing w:line="360" w:lineRule="auto"/>
              <w:jc w:val="both"/>
              <w:rPr>
                <w:rFonts w:ascii="Arial" w:hAnsi="Arial" w:cs="Arial"/>
                <w:b/>
                <w:sz w:val="24"/>
                <w:szCs w:val="24"/>
              </w:rPr>
            </w:pPr>
            <w:r w:rsidRPr="00A25BE2">
              <w:rPr>
                <w:rFonts w:ascii="Arial" w:hAnsi="Arial" w:cs="Arial"/>
                <w:b/>
                <w:sz w:val="24"/>
                <w:szCs w:val="24"/>
              </w:rPr>
              <w:t>COMPENSAÇÃO</w:t>
            </w:r>
          </w:p>
        </w:tc>
      </w:tr>
      <w:tr w:rsidR="0046311A" w:rsidTr="0046311A">
        <w:tc>
          <w:tcPr>
            <w:tcW w:w="1950" w:type="dxa"/>
          </w:tcPr>
          <w:p w:rsidR="0046311A" w:rsidRDefault="0046311A" w:rsidP="0046311A">
            <w:pPr>
              <w:spacing w:line="360" w:lineRule="auto"/>
              <w:jc w:val="both"/>
              <w:rPr>
                <w:rFonts w:ascii="Arial" w:hAnsi="Arial" w:cs="Arial"/>
                <w:sz w:val="24"/>
                <w:szCs w:val="24"/>
              </w:rPr>
            </w:pPr>
            <w:r>
              <w:rPr>
                <w:rFonts w:ascii="Arial" w:hAnsi="Arial" w:cs="Arial"/>
                <w:sz w:val="24"/>
                <w:szCs w:val="24"/>
              </w:rPr>
              <w:t>TAXA DE TURISO SUSTENTÁVEL</w:t>
            </w:r>
          </w:p>
        </w:tc>
        <w:tc>
          <w:tcPr>
            <w:tcW w:w="2865" w:type="dxa"/>
          </w:tcPr>
          <w:p w:rsidR="0046311A" w:rsidRDefault="0046311A" w:rsidP="0046311A">
            <w:pPr>
              <w:spacing w:line="360" w:lineRule="auto"/>
              <w:jc w:val="both"/>
              <w:rPr>
                <w:rFonts w:ascii="Arial" w:hAnsi="Arial" w:cs="Arial"/>
                <w:sz w:val="24"/>
                <w:szCs w:val="24"/>
              </w:rPr>
            </w:pPr>
            <w:r>
              <w:rPr>
                <w:rFonts w:ascii="Arial" w:hAnsi="Arial" w:cs="Arial"/>
                <w:sz w:val="24"/>
                <w:szCs w:val="24"/>
              </w:rPr>
              <w:t xml:space="preserve">Lei </w:t>
            </w:r>
            <w:proofErr w:type="gramStart"/>
            <w:r>
              <w:rPr>
                <w:rFonts w:ascii="Arial" w:hAnsi="Arial" w:cs="Arial"/>
                <w:sz w:val="24"/>
                <w:szCs w:val="24"/>
              </w:rPr>
              <w:t>à</w:t>
            </w:r>
            <w:proofErr w:type="gramEnd"/>
            <w:r>
              <w:rPr>
                <w:rFonts w:ascii="Arial" w:hAnsi="Arial" w:cs="Arial"/>
                <w:sz w:val="24"/>
                <w:szCs w:val="24"/>
              </w:rPr>
              <w:t xml:space="preserve"> ser proposta de repasse a Entidades sem fins lucrativos de cunho econômico</w:t>
            </w:r>
          </w:p>
        </w:tc>
        <w:tc>
          <w:tcPr>
            <w:tcW w:w="2551" w:type="dxa"/>
          </w:tcPr>
          <w:p w:rsidR="0046311A" w:rsidRDefault="0046311A" w:rsidP="0046311A">
            <w:pPr>
              <w:spacing w:line="360" w:lineRule="auto"/>
              <w:jc w:val="both"/>
              <w:rPr>
                <w:rFonts w:ascii="Arial" w:hAnsi="Arial" w:cs="Arial"/>
                <w:sz w:val="24"/>
                <w:szCs w:val="24"/>
              </w:rPr>
            </w:pPr>
            <w:r>
              <w:rPr>
                <w:rFonts w:ascii="Arial" w:hAnsi="Arial" w:cs="Arial"/>
                <w:sz w:val="24"/>
                <w:szCs w:val="24"/>
              </w:rPr>
              <w:t>2017=R$ 490.667,00</w:t>
            </w:r>
          </w:p>
          <w:p w:rsidR="0046311A" w:rsidRDefault="0046311A" w:rsidP="0046311A">
            <w:pPr>
              <w:spacing w:line="360" w:lineRule="auto"/>
              <w:jc w:val="both"/>
              <w:rPr>
                <w:rFonts w:ascii="Arial" w:hAnsi="Arial" w:cs="Arial"/>
                <w:sz w:val="24"/>
                <w:szCs w:val="24"/>
              </w:rPr>
            </w:pPr>
            <w:r>
              <w:rPr>
                <w:rFonts w:ascii="Arial" w:hAnsi="Arial" w:cs="Arial"/>
                <w:sz w:val="24"/>
                <w:szCs w:val="24"/>
              </w:rPr>
              <w:t>2018=R$ 590.000,00</w:t>
            </w:r>
          </w:p>
          <w:p w:rsidR="0046311A" w:rsidRDefault="0046311A" w:rsidP="0046311A">
            <w:pPr>
              <w:spacing w:line="360" w:lineRule="auto"/>
              <w:jc w:val="both"/>
              <w:rPr>
                <w:rFonts w:ascii="Arial" w:hAnsi="Arial" w:cs="Arial"/>
                <w:sz w:val="24"/>
                <w:szCs w:val="24"/>
              </w:rPr>
            </w:pPr>
            <w:r>
              <w:rPr>
                <w:rFonts w:ascii="Arial" w:hAnsi="Arial" w:cs="Arial"/>
                <w:sz w:val="24"/>
                <w:szCs w:val="24"/>
              </w:rPr>
              <w:t>2019=R$ 590.000,00</w:t>
            </w:r>
          </w:p>
        </w:tc>
        <w:tc>
          <w:tcPr>
            <w:tcW w:w="1980" w:type="dxa"/>
          </w:tcPr>
          <w:p w:rsidR="0046311A" w:rsidRDefault="0046311A" w:rsidP="0046311A">
            <w:pPr>
              <w:spacing w:line="360" w:lineRule="auto"/>
              <w:jc w:val="both"/>
              <w:rPr>
                <w:rFonts w:ascii="Arial" w:hAnsi="Arial" w:cs="Arial"/>
                <w:sz w:val="24"/>
                <w:szCs w:val="24"/>
              </w:rPr>
            </w:pPr>
            <w:r>
              <w:rPr>
                <w:rFonts w:ascii="Arial" w:hAnsi="Arial" w:cs="Arial"/>
                <w:sz w:val="24"/>
                <w:szCs w:val="24"/>
              </w:rPr>
              <w:t>Valor já previsto no orçamento</w:t>
            </w:r>
          </w:p>
        </w:tc>
      </w:tr>
    </w:tbl>
    <w:p w:rsidR="0046311A" w:rsidRDefault="0046311A" w:rsidP="0046311A">
      <w:pPr>
        <w:spacing w:line="360" w:lineRule="auto"/>
        <w:ind w:firstLine="2268"/>
        <w:jc w:val="both"/>
        <w:rPr>
          <w:rFonts w:ascii="Arial" w:hAnsi="Arial" w:cs="Arial"/>
          <w:sz w:val="24"/>
          <w:szCs w:val="24"/>
        </w:rPr>
      </w:pPr>
    </w:p>
    <w:p w:rsidR="004D23D1" w:rsidRPr="004D23D1" w:rsidRDefault="004D23D1" w:rsidP="0046311A">
      <w:pPr>
        <w:spacing w:line="360" w:lineRule="auto"/>
        <w:ind w:firstLine="2268"/>
        <w:jc w:val="both"/>
        <w:rPr>
          <w:rFonts w:ascii="Arial" w:hAnsi="Arial" w:cs="Arial"/>
          <w:b/>
          <w:sz w:val="24"/>
          <w:szCs w:val="24"/>
        </w:rPr>
      </w:pPr>
      <w:r w:rsidRPr="004D23D1">
        <w:rPr>
          <w:rFonts w:ascii="Arial" w:hAnsi="Arial" w:cs="Arial"/>
          <w:b/>
          <w:sz w:val="24"/>
          <w:szCs w:val="24"/>
        </w:rPr>
        <w:t>Considerações finais:</w:t>
      </w:r>
    </w:p>
    <w:p w:rsidR="004D23D1" w:rsidRDefault="004D23D1" w:rsidP="00282CBD">
      <w:pPr>
        <w:spacing w:line="276" w:lineRule="auto"/>
        <w:ind w:firstLine="2268"/>
        <w:jc w:val="both"/>
        <w:rPr>
          <w:rFonts w:ascii="Arial" w:hAnsi="Arial" w:cs="Arial"/>
          <w:sz w:val="24"/>
          <w:szCs w:val="24"/>
        </w:rPr>
      </w:pPr>
      <w:r>
        <w:rPr>
          <w:rFonts w:ascii="Arial" w:hAnsi="Arial" w:cs="Arial"/>
          <w:sz w:val="24"/>
          <w:szCs w:val="24"/>
        </w:rPr>
        <w:t xml:space="preserve">No caso concreto, está demonstrado no presente PL que a previsão dos valores a serem subvencionados, estimados em R$ 490.667,00 (quatrocentos e noventa mil, seiscentos e sessenta e sete reais) em 2017, e R$ 590.000,00 (quinhentos e noventa mil) em 2018 e 2019, respectivamente, relativos </w:t>
      </w:r>
      <w:proofErr w:type="gramStart"/>
      <w:r>
        <w:rPr>
          <w:rFonts w:ascii="Arial" w:hAnsi="Arial" w:cs="Arial"/>
          <w:sz w:val="24"/>
          <w:szCs w:val="24"/>
        </w:rPr>
        <w:t>ao investimentos</w:t>
      </w:r>
      <w:proofErr w:type="gramEnd"/>
      <w:r>
        <w:rPr>
          <w:rFonts w:ascii="Arial" w:hAnsi="Arial" w:cs="Arial"/>
          <w:sz w:val="24"/>
          <w:szCs w:val="24"/>
        </w:rPr>
        <w:t xml:space="preserve"> que serão realizados com a subvenção econômica, ora em análise, estão sendo incluídos no Anexo das renuncias de receitas que acompanha a LDO – Lei de Diretrizes Orçamentárias (Lei Municipal nº 3.502, aprovada em 21/10/2016), anexa ao substitutivo, ficando atendida uma das exigências legais, uma vez que os referidos valores estão sendo arrecadados através da taxa de turismo sustentável, já instituída e </w:t>
      </w:r>
      <w:r>
        <w:rPr>
          <w:rFonts w:ascii="Arial" w:hAnsi="Arial" w:cs="Arial"/>
          <w:sz w:val="24"/>
          <w:szCs w:val="24"/>
        </w:rPr>
        <w:lastRenderedPageBreak/>
        <w:t>arrecadada pelo município desde 2016, não gerando impacto negativo sobre as metas fiscais, em conformidade com o art. 14, II, da LRF.</w:t>
      </w:r>
    </w:p>
    <w:p w:rsidR="004D23D1" w:rsidRDefault="004D23D1" w:rsidP="00282CBD">
      <w:pPr>
        <w:spacing w:line="276" w:lineRule="auto"/>
        <w:ind w:firstLine="2268"/>
        <w:jc w:val="both"/>
        <w:rPr>
          <w:rFonts w:ascii="Arial" w:hAnsi="Arial" w:cs="Arial"/>
          <w:sz w:val="24"/>
          <w:szCs w:val="24"/>
        </w:rPr>
      </w:pPr>
      <w:r>
        <w:rPr>
          <w:rFonts w:ascii="Arial" w:hAnsi="Arial" w:cs="Arial"/>
          <w:sz w:val="24"/>
          <w:szCs w:val="24"/>
        </w:rPr>
        <w:t>Entretanto, o mesmo art. 14 exige ainda, além da condição acima referida, que a renúncia de receita esteja acompanhada também de impacto orçamentário-financeiro no exercício em que se inicia sua vigência e nos dois seguintes, para comprovar que a referida renúncia não afetará as metas fiscais previstas para o exercício 2017 e os dois seguintes, o que evidenciamos também acompanhar o referido PL, de forma correta.</w:t>
      </w:r>
    </w:p>
    <w:p w:rsidR="004D23D1" w:rsidRDefault="004D23D1" w:rsidP="00282CBD">
      <w:pPr>
        <w:spacing w:line="276" w:lineRule="auto"/>
        <w:ind w:firstLine="2268"/>
        <w:jc w:val="both"/>
        <w:rPr>
          <w:rFonts w:ascii="Arial" w:hAnsi="Arial" w:cs="Arial"/>
          <w:sz w:val="24"/>
          <w:szCs w:val="24"/>
        </w:rPr>
      </w:pPr>
      <w:r>
        <w:rPr>
          <w:rFonts w:ascii="Arial" w:hAnsi="Arial" w:cs="Arial"/>
          <w:sz w:val="24"/>
          <w:szCs w:val="24"/>
        </w:rPr>
        <w:t>Ressalta-se, ainda, que as medidas de compensação previstas na LRF deverão ser acompanhadas nas audiências quadrimestrais das metas fiscais, para que se confirme sua execução nos termos previstos, no decorrer do exercício 2017, e também no período de vigência do contrato firmado entre as partes.</w:t>
      </w:r>
    </w:p>
    <w:p w:rsidR="00F05D17" w:rsidRPr="00F05D17" w:rsidRDefault="00F05D17" w:rsidP="00F05D17">
      <w:pPr>
        <w:tabs>
          <w:tab w:val="left" w:pos="1418"/>
          <w:tab w:val="left" w:pos="5059"/>
        </w:tabs>
        <w:spacing w:line="276" w:lineRule="auto"/>
        <w:jc w:val="both"/>
        <w:rPr>
          <w:rFonts w:ascii="Arial" w:eastAsia="Calibri" w:hAnsi="Arial" w:cs="Arial"/>
          <w:sz w:val="24"/>
        </w:rPr>
      </w:pPr>
    </w:p>
    <w:p w:rsidR="00F05D17" w:rsidRPr="00F05D17" w:rsidRDefault="00F05D17" w:rsidP="00F05D17">
      <w:pPr>
        <w:tabs>
          <w:tab w:val="left" w:pos="1418"/>
          <w:tab w:val="left" w:pos="5059"/>
        </w:tabs>
        <w:spacing w:line="276" w:lineRule="auto"/>
        <w:jc w:val="center"/>
        <w:rPr>
          <w:rFonts w:ascii="Arial" w:eastAsia="Calibri" w:hAnsi="Arial" w:cs="Arial"/>
          <w:b/>
          <w:sz w:val="24"/>
        </w:rPr>
      </w:pPr>
      <w:r w:rsidRPr="00F05D17">
        <w:rPr>
          <w:rFonts w:ascii="Arial" w:eastAsia="Calibri" w:hAnsi="Arial" w:cs="Arial"/>
          <w:b/>
          <w:sz w:val="24"/>
        </w:rPr>
        <w:t>Conclusão do Voto:</w:t>
      </w:r>
    </w:p>
    <w:p w:rsidR="00F05D17" w:rsidRPr="00F05D17" w:rsidRDefault="00F05D17" w:rsidP="00F05D17">
      <w:pPr>
        <w:tabs>
          <w:tab w:val="left" w:pos="1418"/>
          <w:tab w:val="left" w:pos="5059"/>
        </w:tabs>
        <w:spacing w:line="276" w:lineRule="auto"/>
        <w:jc w:val="both"/>
        <w:rPr>
          <w:rFonts w:ascii="Arial" w:eastAsia="Calibri" w:hAnsi="Arial" w:cs="Arial"/>
          <w:sz w:val="24"/>
        </w:rPr>
      </w:pPr>
    </w:p>
    <w:p w:rsidR="00F05D17" w:rsidRPr="00F05D17" w:rsidRDefault="00F05D17" w:rsidP="00F05D17">
      <w:pPr>
        <w:tabs>
          <w:tab w:val="left" w:pos="1701"/>
          <w:tab w:val="left" w:pos="5059"/>
        </w:tabs>
        <w:spacing w:line="276" w:lineRule="auto"/>
        <w:jc w:val="both"/>
        <w:rPr>
          <w:rFonts w:ascii="Arial" w:eastAsia="Calibri" w:hAnsi="Arial" w:cs="Arial"/>
          <w:sz w:val="24"/>
        </w:rPr>
      </w:pPr>
      <w:r w:rsidRPr="00F05D17">
        <w:rPr>
          <w:rFonts w:ascii="Arial" w:eastAsia="Calibri" w:hAnsi="Arial" w:cs="Arial"/>
          <w:sz w:val="24"/>
        </w:rPr>
        <w:t>5.</w:t>
      </w:r>
      <w:r w:rsidRPr="00F05D17">
        <w:rPr>
          <w:rFonts w:ascii="Arial" w:eastAsia="Calibri" w:hAnsi="Arial" w:cs="Arial"/>
          <w:sz w:val="24"/>
        </w:rPr>
        <w:tab/>
        <w:t>Diante dos fundamentos legais e constitucionais expostos, esta Relatoria, depois de debate realizado na Comissão, disponibiliza o presente Voto favorável à tramitação da matéria.</w:t>
      </w:r>
    </w:p>
    <w:p w:rsidR="00F05D17" w:rsidRPr="00F05D17" w:rsidRDefault="00F05D17" w:rsidP="00F05D17">
      <w:pPr>
        <w:tabs>
          <w:tab w:val="left" w:pos="1418"/>
          <w:tab w:val="left" w:pos="5059"/>
        </w:tabs>
        <w:spacing w:line="276" w:lineRule="auto"/>
        <w:jc w:val="both"/>
        <w:rPr>
          <w:rFonts w:ascii="Arial" w:eastAsia="Calibri" w:hAnsi="Arial" w:cs="Arial"/>
          <w:sz w:val="24"/>
        </w:rPr>
      </w:pPr>
    </w:p>
    <w:p w:rsidR="00F05D17" w:rsidRPr="00F05D17" w:rsidRDefault="00F05D17" w:rsidP="00F05D17">
      <w:pPr>
        <w:tabs>
          <w:tab w:val="left" w:pos="1701"/>
          <w:tab w:val="left" w:pos="5059"/>
        </w:tabs>
        <w:spacing w:line="276" w:lineRule="auto"/>
        <w:jc w:val="both"/>
        <w:rPr>
          <w:rFonts w:ascii="Arial" w:eastAsia="Calibri" w:hAnsi="Arial" w:cs="Arial"/>
          <w:sz w:val="24"/>
        </w:rPr>
      </w:pPr>
      <w:r w:rsidRPr="00F05D17">
        <w:rPr>
          <w:rFonts w:ascii="Arial" w:eastAsia="Calibri" w:hAnsi="Arial" w:cs="Arial"/>
          <w:sz w:val="24"/>
        </w:rPr>
        <w:tab/>
        <w:t xml:space="preserve">Sala das Comissões, em </w:t>
      </w:r>
      <w:r w:rsidR="00500FA5">
        <w:rPr>
          <w:rFonts w:ascii="Arial" w:eastAsia="Calibri" w:hAnsi="Arial" w:cs="Arial"/>
          <w:sz w:val="24"/>
        </w:rPr>
        <w:t>11 de maio de 2017.</w:t>
      </w:r>
    </w:p>
    <w:p w:rsidR="00F05D17" w:rsidRPr="00F05D17" w:rsidRDefault="00F05D17" w:rsidP="00F05D17">
      <w:pPr>
        <w:tabs>
          <w:tab w:val="left" w:pos="1418"/>
          <w:tab w:val="left" w:pos="5059"/>
        </w:tabs>
        <w:spacing w:line="276" w:lineRule="auto"/>
        <w:jc w:val="both"/>
        <w:rPr>
          <w:rFonts w:ascii="Arial" w:eastAsia="Calibri" w:hAnsi="Arial" w:cs="Arial"/>
          <w:sz w:val="24"/>
        </w:rPr>
      </w:pPr>
      <w:r w:rsidRPr="00F05D17">
        <w:rPr>
          <w:rFonts w:ascii="Arial" w:eastAsia="Calibri" w:hAnsi="Arial" w:cs="Arial"/>
          <w:sz w:val="24"/>
        </w:rPr>
        <w:tab/>
      </w:r>
    </w:p>
    <w:p w:rsidR="00BD4DA1" w:rsidRDefault="00BD4DA1" w:rsidP="00BD4DA1">
      <w:pPr>
        <w:tabs>
          <w:tab w:val="left" w:pos="1701"/>
          <w:tab w:val="left" w:pos="5059"/>
        </w:tabs>
        <w:spacing w:line="276" w:lineRule="auto"/>
        <w:jc w:val="center"/>
        <w:rPr>
          <w:rFonts w:ascii="Arial" w:eastAsia="Calibri" w:hAnsi="Arial" w:cs="Arial"/>
          <w:sz w:val="24"/>
        </w:rPr>
      </w:pPr>
      <w:r>
        <w:rPr>
          <w:rFonts w:ascii="Arial" w:eastAsia="Calibri" w:hAnsi="Arial" w:cs="Arial"/>
          <w:sz w:val="24"/>
        </w:rPr>
        <w:t>Vereadora Relatora</w:t>
      </w:r>
    </w:p>
    <w:p w:rsidR="00BD4DA1" w:rsidRDefault="00BD4DA1" w:rsidP="00BD4DA1">
      <w:pPr>
        <w:tabs>
          <w:tab w:val="left" w:pos="1701"/>
          <w:tab w:val="left" w:pos="5059"/>
        </w:tabs>
        <w:spacing w:line="276" w:lineRule="auto"/>
        <w:jc w:val="center"/>
        <w:rPr>
          <w:rFonts w:ascii="Arial" w:eastAsia="Calibri" w:hAnsi="Arial" w:cs="Arial"/>
          <w:sz w:val="24"/>
        </w:rPr>
      </w:pPr>
      <w:r>
        <w:rPr>
          <w:rFonts w:ascii="Arial" w:eastAsia="Calibri" w:hAnsi="Arial" w:cs="Arial"/>
          <w:sz w:val="24"/>
        </w:rPr>
        <w:t xml:space="preserve">Manu </w:t>
      </w:r>
      <w:proofErr w:type="spellStart"/>
      <w:r>
        <w:rPr>
          <w:rFonts w:ascii="Arial" w:eastAsia="Calibri" w:hAnsi="Arial" w:cs="Arial"/>
          <w:sz w:val="24"/>
        </w:rPr>
        <w:t>Caliari</w:t>
      </w:r>
      <w:proofErr w:type="spellEnd"/>
    </w:p>
    <w:p w:rsidR="00BD4DA1" w:rsidRDefault="00BD4DA1" w:rsidP="00BD4DA1">
      <w:pPr>
        <w:tabs>
          <w:tab w:val="left" w:pos="1701"/>
          <w:tab w:val="left" w:pos="5059"/>
        </w:tabs>
        <w:spacing w:line="276" w:lineRule="auto"/>
        <w:jc w:val="center"/>
        <w:rPr>
          <w:rFonts w:ascii="Arial" w:eastAsia="Calibri" w:hAnsi="Arial" w:cs="Arial"/>
          <w:sz w:val="24"/>
        </w:rPr>
      </w:pPr>
    </w:p>
    <w:p w:rsidR="00BD4DA1" w:rsidRDefault="00BD4DA1" w:rsidP="00BD4DA1">
      <w:pPr>
        <w:tabs>
          <w:tab w:val="left" w:pos="1701"/>
          <w:tab w:val="left" w:pos="5059"/>
        </w:tabs>
        <w:spacing w:line="276" w:lineRule="auto"/>
        <w:jc w:val="center"/>
        <w:rPr>
          <w:rFonts w:ascii="Arial" w:eastAsia="Calibri" w:hAnsi="Arial" w:cs="Arial"/>
          <w:sz w:val="24"/>
        </w:rPr>
      </w:pPr>
      <w:r>
        <w:rPr>
          <w:rFonts w:ascii="Arial" w:eastAsia="Calibri" w:hAnsi="Arial" w:cs="Arial"/>
          <w:sz w:val="24"/>
        </w:rPr>
        <w:t>Acompanhando o voto da relatora:</w:t>
      </w:r>
    </w:p>
    <w:p w:rsidR="00BD4DA1" w:rsidRDefault="00BD4DA1" w:rsidP="00BD4DA1">
      <w:pPr>
        <w:tabs>
          <w:tab w:val="left" w:pos="1701"/>
          <w:tab w:val="left" w:pos="5059"/>
        </w:tabs>
        <w:spacing w:line="276" w:lineRule="auto"/>
        <w:jc w:val="center"/>
        <w:rPr>
          <w:rFonts w:ascii="Arial" w:eastAsia="Calibri" w:hAnsi="Arial" w:cs="Arial"/>
          <w:sz w:val="24"/>
        </w:rPr>
      </w:pPr>
    </w:p>
    <w:p w:rsidR="00BD4DA1" w:rsidRDefault="00BD4DA1" w:rsidP="00BD4DA1">
      <w:pPr>
        <w:tabs>
          <w:tab w:val="left" w:pos="1701"/>
          <w:tab w:val="left" w:pos="5059"/>
        </w:tabs>
        <w:spacing w:line="276" w:lineRule="auto"/>
        <w:jc w:val="center"/>
        <w:rPr>
          <w:rFonts w:ascii="Arial" w:eastAsia="Calibri" w:hAnsi="Arial" w:cs="Arial"/>
          <w:sz w:val="24"/>
        </w:rPr>
      </w:pPr>
      <w:r w:rsidRPr="00F05D17">
        <w:rPr>
          <w:rFonts w:ascii="Arial" w:eastAsia="Calibri" w:hAnsi="Arial" w:cs="Arial"/>
          <w:sz w:val="24"/>
        </w:rPr>
        <w:t>Vereador Presidente</w:t>
      </w:r>
    </w:p>
    <w:p w:rsidR="00BD4DA1" w:rsidRDefault="00BD4DA1" w:rsidP="00BD4DA1">
      <w:pPr>
        <w:tabs>
          <w:tab w:val="left" w:pos="1701"/>
          <w:tab w:val="left" w:pos="5059"/>
        </w:tabs>
        <w:spacing w:line="276" w:lineRule="auto"/>
        <w:jc w:val="center"/>
        <w:rPr>
          <w:rFonts w:ascii="Arial" w:eastAsia="Calibri" w:hAnsi="Arial" w:cs="Arial"/>
          <w:sz w:val="24"/>
        </w:rPr>
      </w:pPr>
      <w:r>
        <w:rPr>
          <w:rFonts w:ascii="Arial" w:eastAsia="Calibri" w:hAnsi="Arial" w:cs="Arial"/>
          <w:sz w:val="24"/>
        </w:rPr>
        <w:t xml:space="preserve">Rafael </w:t>
      </w:r>
      <w:proofErr w:type="spellStart"/>
      <w:r>
        <w:rPr>
          <w:rFonts w:ascii="Arial" w:eastAsia="Calibri" w:hAnsi="Arial" w:cs="Arial"/>
          <w:sz w:val="24"/>
        </w:rPr>
        <w:t>Ronsoni</w:t>
      </w:r>
      <w:proofErr w:type="spellEnd"/>
    </w:p>
    <w:p w:rsidR="00BD4DA1" w:rsidRDefault="00BD4DA1" w:rsidP="00BD4DA1">
      <w:pPr>
        <w:tabs>
          <w:tab w:val="left" w:pos="1701"/>
          <w:tab w:val="left" w:pos="5059"/>
        </w:tabs>
        <w:spacing w:line="276" w:lineRule="auto"/>
        <w:jc w:val="center"/>
        <w:rPr>
          <w:rFonts w:ascii="Arial" w:eastAsia="Calibri" w:hAnsi="Arial" w:cs="Arial"/>
          <w:sz w:val="24"/>
        </w:rPr>
      </w:pPr>
    </w:p>
    <w:p w:rsidR="00BD4DA1" w:rsidRDefault="00BD4DA1" w:rsidP="00BD4DA1">
      <w:pPr>
        <w:tabs>
          <w:tab w:val="left" w:pos="1701"/>
          <w:tab w:val="left" w:pos="5059"/>
        </w:tabs>
        <w:spacing w:line="276" w:lineRule="auto"/>
        <w:jc w:val="center"/>
        <w:rPr>
          <w:rFonts w:ascii="Arial" w:eastAsia="Calibri" w:hAnsi="Arial" w:cs="Arial"/>
          <w:sz w:val="24"/>
        </w:rPr>
      </w:pPr>
      <w:r>
        <w:rPr>
          <w:rFonts w:ascii="Arial" w:eastAsia="Calibri" w:hAnsi="Arial" w:cs="Arial"/>
          <w:sz w:val="24"/>
        </w:rPr>
        <w:t>Vereador Vice-Presidente</w:t>
      </w:r>
    </w:p>
    <w:p w:rsidR="00F2329E" w:rsidRPr="00F05D17" w:rsidRDefault="00BD4DA1" w:rsidP="00282CBD">
      <w:pPr>
        <w:tabs>
          <w:tab w:val="left" w:pos="1701"/>
          <w:tab w:val="left" w:pos="5059"/>
        </w:tabs>
        <w:spacing w:line="276" w:lineRule="auto"/>
        <w:jc w:val="center"/>
        <w:rPr>
          <w:rFonts w:ascii="Arial" w:hAnsi="Arial" w:cs="Arial"/>
          <w:sz w:val="32"/>
          <w:szCs w:val="28"/>
        </w:rPr>
      </w:pPr>
      <w:r>
        <w:rPr>
          <w:rFonts w:ascii="Arial" w:eastAsia="Calibri" w:hAnsi="Arial" w:cs="Arial"/>
          <w:sz w:val="24"/>
        </w:rPr>
        <w:t xml:space="preserve">Everton </w:t>
      </w:r>
      <w:proofErr w:type="spellStart"/>
      <w:r>
        <w:rPr>
          <w:rFonts w:ascii="Arial" w:eastAsia="Calibri" w:hAnsi="Arial" w:cs="Arial"/>
          <w:sz w:val="24"/>
        </w:rPr>
        <w:t>Michaelsen</w:t>
      </w:r>
      <w:bookmarkStart w:id="0" w:name="_GoBack"/>
      <w:bookmarkEnd w:id="0"/>
      <w:proofErr w:type="spellEnd"/>
    </w:p>
    <w:sectPr w:rsidR="00F2329E" w:rsidRPr="00F05D17" w:rsidSect="00752D93">
      <w:headerReference w:type="default" r:id="rId8"/>
      <w:footerReference w:type="default" r:id="rId9"/>
      <w:pgSz w:w="11906" w:h="16838"/>
      <w:pgMar w:top="851" w:right="849" w:bottom="1418" w:left="1701" w:header="142" w:footer="2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3D1" w:rsidRDefault="004D23D1" w:rsidP="00E87D4A">
      <w:pPr>
        <w:spacing w:after="0" w:line="240" w:lineRule="auto"/>
      </w:pPr>
      <w:r>
        <w:separator/>
      </w:r>
    </w:p>
  </w:endnote>
  <w:endnote w:type="continuationSeparator" w:id="0">
    <w:p w:rsidR="004D23D1" w:rsidRDefault="004D23D1" w:rsidP="00E8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3D1" w:rsidRDefault="004D23D1" w:rsidP="00BB2345">
    <w:pPr>
      <w:pStyle w:val="Rodap"/>
      <w:ind w:left="-1134"/>
      <w:jc w:val="right"/>
    </w:pPr>
    <w:r>
      <w:rPr>
        <w:noProof/>
        <w:lang w:eastAsia="pt-BR"/>
      </w:rPr>
      <w:drawing>
        <wp:inline distT="0" distB="0" distL="0" distR="0" wp14:anchorId="2E07BC37" wp14:editId="79CC5E0C">
          <wp:extent cx="6834791" cy="923290"/>
          <wp:effectExtent l="0" t="0" r="4445" b="0"/>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sfasdfasdf.JPG"/>
                  <pic:cNvPicPr/>
                </pic:nvPicPr>
                <pic:blipFill>
                  <a:blip r:embed="rId1">
                    <a:extLst>
                      <a:ext uri="{28A0092B-C50C-407E-A947-70E740481C1C}">
                        <a14:useLocalDpi xmlns:a14="http://schemas.microsoft.com/office/drawing/2010/main" val="0"/>
                      </a:ext>
                    </a:extLst>
                  </a:blip>
                  <a:stretch>
                    <a:fillRect/>
                  </a:stretch>
                </pic:blipFill>
                <pic:spPr>
                  <a:xfrm>
                    <a:off x="0" y="0"/>
                    <a:ext cx="6924638" cy="935427"/>
                  </a:xfrm>
                  <a:prstGeom prst="rect">
                    <a:avLst/>
                  </a:prstGeom>
                </pic:spPr>
              </pic:pic>
            </a:graphicData>
          </a:graphic>
        </wp:inline>
      </w:drawing>
    </w:r>
    <w:r>
      <w:t xml:space="preserve">                                                                                                                                            </w:t>
    </w:r>
  </w:p>
  <w:p w:rsidR="004D23D1" w:rsidRDefault="004D23D1" w:rsidP="00FF1693">
    <w:pPr>
      <w:pStyle w:val="Rodap"/>
      <w:ind w:left="-851"/>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3D1" w:rsidRDefault="004D23D1" w:rsidP="00E87D4A">
      <w:pPr>
        <w:spacing w:after="0" w:line="240" w:lineRule="auto"/>
      </w:pPr>
      <w:r>
        <w:separator/>
      </w:r>
    </w:p>
  </w:footnote>
  <w:footnote w:type="continuationSeparator" w:id="0">
    <w:p w:rsidR="004D23D1" w:rsidRDefault="004D23D1" w:rsidP="00E87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3D1" w:rsidRPr="00E87D4A" w:rsidRDefault="004D23D1" w:rsidP="00BB2345">
    <w:pPr>
      <w:pStyle w:val="Cabealho"/>
      <w:ind w:left="-1134"/>
    </w:pPr>
    <w:r>
      <w:rPr>
        <w:noProof/>
        <w:lang w:eastAsia="pt-BR"/>
      </w:rPr>
      <w:drawing>
        <wp:inline distT="0" distB="0" distL="0" distR="0" wp14:anchorId="77ACCC46" wp14:editId="3B25A3BF">
          <wp:extent cx="6843113" cy="775335"/>
          <wp:effectExtent l="0" t="0" r="0" b="5715"/>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de-E-mail.jpg"/>
                  <pic:cNvPicPr/>
                </pic:nvPicPr>
                <pic:blipFill>
                  <a:blip r:embed="rId1">
                    <a:extLst>
                      <a:ext uri="{28A0092B-C50C-407E-A947-70E740481C1C}">
                        <a14:useLocalDpi xmlns:a14="http://schemas.microsoft.com/office/drawing/2010/main" val="0"/>
                      </a:ext>
                    </a:extLst>
                  </a:blip>
                  <a:stretch>
                    <a:fillRect/>
                  </a:stretch>
                </pic:blipFill>
                <pic:spPr>
                  <a:xfrm>
                    <a:off x="0" y="0"/>
                    <a:ext cx="7346645" cy="83238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20B75"/>
    <w:multiLevelType w:val="hybridMultilevel"/>
    <w:tmpl w:val="2C949E00"/>
    <w:lvl w:ilvl="0" w:tplc="339422EC">
      <w:start w:val="7"/>
      <w:numFmt w:val="lowerLetter"/>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1">
    <w:nsid w:val="2FEB1301"/>
    <w:multiLevelType w:val="hybridMultilevel"/>
    <w:tmpl w:val="1E6EAC4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350F396A"/>
    <w:multiLevelType w:val="hybridMultilevel"/>
    <w:tmpl w:val="529CBA3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4D335A4C"/>
    <w:multiLevelType w:val="hybridMultilevel"/>
    <w:tmpl w:val="C77A3ADC"/>
    <w:lvl w:ilvl="0" w:tplc="9A08C8D2">
      <w:start w:val="1"/>
      <w:numFmt w:val="lowerLetter"/>
      <w:lvlText w:val="%1)"/>
      <w:lvlJc w:val="left"/>
      <w:pPr>
        <w:tabs>
          <w:tab w:val="num" w:pos="1211"/>
        </w:tabs>
        <w:ind w:left="1211"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620C3260"/>
    <w:multiLevelType w:val="hybridMultilevel"/>
    <w:tmpl w:val="BC9C5A38"/>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7C8D0C6C"/>
    <w:multiLevelType w:val="multilevel"/>
    <w:tmpl w:val="9CD8A79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D4A"/>
    <w:rsid w:val="00045E88"/>
    <w:rsid w:val="00065D9B"/>
    <w:rsid w:val="000B3C58"/>
    <w:rsid w:val="00156C1C"/>
    <w:rsid w:val="00241611"/>
    <w:rsid w:val="00282CBD"/>
    <w:rsid w:val="002C4C09"/>
    <w:rsid w:val="002E3916"/>
    <w:rsid w:val="003F6E36"/>
    <w:rsid w:val="004276A0"/>
    <w:rsid w:val="00453E60"/>
    <w:rsid w:val="0046311A"/>
    <w:rsid w:val="004A408F"/>
    <w:rsid w:val="004D23D1"/>
    <w:rsid w:val="00500FA5"/>
    <w:rsid w:val="00592622"/>
    <w:rsid w:val="005A418C"/>
    <w:rsid w:val="005F6010"/>
    <w:rsid w:val="00752D93"/>
    <w:rsid w:val="007918F3"/>
    <w:rsid w:val="008F0853"/>
    <w:rsid w:val="0090288F"/>
    <w:rsid w:val="00921A7E"/>
    <w:rsid w:val="00A3548C"/>
    <w:rsid w:val="00A90B79"/>
    <w:rsid w:val="00AB37CE"/>
    <w:rsid w:val="00B466FD"/>
    <w:rsid w:val="00BB2345"/>
    <w:rsid w:val="00BD38AB"/>
    <w:rsid w:val="00BD4DA1"/>
    <w:rsid w:val="00CD1CF2"/>
    <w:rsid w:val="00D74590"/>
    <w:rsid w:val="00DE73CE"/>
    <w:rsid w:val="00E72B13"/>
    <w:rsid w:val="00E87D4A"/>
    <w:rsid w:val="00EA38C1"/>
    <w:rsid w:val="00EC1451"/>
    <w:rsid w:val="00F05D17"/>
    <w:rsid w:val="00F20777"/>
    <w:rsid w:val="00F2329E"/>
    <w:rsid w:val="00F450CC"/>
    <w:rsid w:val="00F853B7"/>
    <w:rsid w:val="00F96B74"/>
    <w:rsid w:val="00FC4155"/>
    <w:rsid w:val="00FF16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NormalWeb">
    <w:name w:val="Normal (Web)"/>
    <w:basedOn w:val="Normal"/>
    <w:uiPriority w:val="99"/>
    <w:unhideWhenUsed/>
    <w:rsid w:val="00EC145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C1451"/>
    <w:pPr>
      <w:spacing w:after="200" w:line="276" w:lineRule="auto"/>
      <w:ind w:left="720"/>
      <w:contextualSpacing/>
    </w:pPr>
  </w:style>
  <w:style w:type="paragraph" w:styleId="Corpodetexto">
    <w:name w:val="Body Text"/>
    <w:basedOn w:val="Normal"/>
    <w:link w:val="CorpodetextoChar"/>
    <w:uiPriority w:val="99"/>
    <w:unhideWhenUsed/>
    <w:rsid w:val="00752D93"/>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Times New Roman"/>
      <w:b/>
      <w:i/>
      <w:szCs w:val="20"/>
      <w:lang w:val="x-none" w:eastAsia="x-none"/>
    </w:rPr>
  </w:style>
  <w:style w:type="character" w:customStyle="1" w:styleId="CorpodetextoChar">
    <w:name w:val="Corpo de texto Char"/>
    <w:basedOn w:val="Fontepargpadro"/>
    <w:link w:val="Corpodetexto"/>
    <w:uiPriority w:val="99"/>
    <w:rsid w:val="00752D93"/>
    <w:rPr>
      <w:rFonts w:ascii="Arial" w:eastAsia="Times New Roman" w:hAnsi="Arial" w:cs="Times New Roman"/>
      <w:b/>
      <w:i/>
      <w:szCs w:val="20"/>
      <w:lang w:val="x-none" w:eastAsia="x-none"/>
    </w:rPr>
  </w:style>
  <w:style w:type="paragraph" w:styleId="Recuodecorpodetexto">
    <w:name w:val="Body Text Indent"/>
    <w:basedOn w:val="Normal"/>
    <w:link w:val="RecuodecorpodetextoChar"/>
    <w:uiPriority w:val="99"/>
    <w:semiHidden/>
    <w:unhideWhenUsed/>
    <w:rsid w:val="00752D93"/>
    <w:pPr>
      <w:tabs>
        <w:tab w:val="left" w:pos="3168"/>
        <w:tab w:val="left" w:pos="3888"/>
        <w:tab w:val="left" w:pos="4608"/>
        <w:tab w:val="left" w:pos="5328"/>
        <w:tab w:val="left" w:pos="6048"/>
        <w:tab w:val="left" w:pos="6768"/>
      </w:tabs>
      <w:spacing w:before="120" w:after="0" w:line="240" w:lineRule="auto"/>
      <w:ind w:left="4253"/>
      <w:jc w:val="both"/>
    </w:pPr>
    <w:rPr>
      <w:rFonts w:ascii="Arial" w:eastAsia="Times New Roman" w:hAnsi="Arial" w:cs="Times New Roman"/>
      <w:i/>
      <w:szCs w:val="20"/>
      <w:lang w:val="x-none" w:eastAsia="x-none"/>
    </w:rPr>
  </w:style>
  <w:style w:type="character" w:customStyle="1" w:styleId="RecuodecorpodetextoChar">
    <w:name w:val="Recuo de corpo de texto Char"/>
    <w:basedOn w:val="Fontepargpadro"/>
    <w:link w:val="Recuodecorpodetexto"/>
    <w:uiPriority w:val="99"/>
    <w:semiHidden/>
    <w:rsid w:val="00752D93"/>
    <w:rPr>
      <w:rFonts w:ascii="Arial" w:eastAsia="Times New Roman" w:hAnsi="Arial" w:cs="Times New Roman"/>
      <w:i/>
      <w:szCs w:val="20"/>
      <w:lang w:val="x-none" w:eastAsia="x-none"/>
    </w:rPr>
  </w:style>
  <w:style w:type="paragraph" w:styleId="Corpodetexto2">
    <w:name w:val="Body Text 2"/>
    <w:basedOn w:val="Normal"/>
    <w:link w:val="Corpodetexto2Char"/>
    <w:uiPriority w:val="99"/>
    <w:semiHidden/>
    <w:unhideWhenUsed/>
    <w:rsid w:val="00752D93"/>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after="0" w:line="360" w:lineRule="auto"/>
      <w:ind w:right="57"/>
      <w:jc w:val="both"/>
    </w:pPr>
    <w:rPr>
      <w:rFonts w:ascii="Arial" w:eastAsia="Times New Roman" w:hAnsi="Arial" w:cs="Times New Roman"/>
      <w:szCs w:val="20"/>
      <w:lang w:val="x-none" w:eastAsia="x-none"/>
    </w:rPr>
  </w:style>
  <w:style w:type="character" w:customStyle="1" w:styleId="Corpodetexto2Char">
    <w:name w:val="Corpo de texto 2 Char"/>
    <w:basedOn w:val="Fontepargpadro"/>
    <w:link w:val="Corpodetexto2"/>
    <w:uiPriority w:val="99"/>
    <w:semiHidden/>
    <w:rsid w:val="00752D93"/>
    <w:rPr>
      <w:rFonts w:ascii="Arial" w:eastAsia="Times New Roman" w:hAnsi="Arial" w:cs="Times New Roman"/>
      <w:szCs w:val="20"/>
      <w:lang w:val="x-none" w:eastAsia="x-none"/>
    </w:rPr>
  </w:style>
  <w:style w:type="table" w:styleId="Tabelacomgrade">
    <w:name w:val="Table Grid"/>
    <w:basedOn w:val="Tabelanormal"/>
    <w:uiPriority w:val="39"/>
    <w:rsid w:val="004631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NormalWeb">
    <w:name w:val="Normal (Web)"/>
    <w:basedOn w:val="Normal"/>
    <w:uiPriority w:val="99"/>
    <w:unhideWhenUsed/>
    <w:rsid w:val="00EC145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C1451"/>
    <w:pPr>
      <w:spacing w:after="200" w:line="276" w:lineRule="auto"/>
      <w:ind w:left="720"/>
      <w:contextualSpacing/>
    </w:pPr>
  </w:style>
  <w:style w:type="paragraph" w:styleId="Corpodetexto">
    <w:name w:val="Body Text"/>
    <w:basedOn w:val="Normal"/>
    <w:link w:val="CorpodetextoChar"/>
    <w:uiPriority w:val="99"/>
    <w:unhideWhenUsed/>
    <w:rsid w:val="00752D93"/>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Times New Roman"/>
      <w:b/>
      <w:i/>
      <w:szCs w:val="20"/>
      <w:lang w:val="x-none" w:eastAsia="x-none"/>
    </w:rPr>
  </w:style>
  <w:style w:type="character" w:customStyle="1" w:styleId="CorpodetextoChar">
    <w:name w:val="Corpo de texto Char"/>
    <w:basedOn w:val="Fontepargpadro"/>
    <w:link w:val="Corpodetexto"/>
    <w:uiPriority w:val="99"/>
    <w:rsid w:val="00752D93"/>
    <w:rPr>
      <w:rFonts w:ascii="Arial" w:eastAsia="Times New Roman" w:hAnsi="Arial" w:cs="Times New Roman"/>
      <w:b/>
      <w:i/>
      <w:szCs w:val="20"/>
      <w:lang w:val="x-none" w:eastAsia="x-none"/>
    </w:rPr>
  </w:style>
  <w:style w:type="paragraph" w:styleId="Recuodecorpodetexto">
    <w:name w:val="Body Text Indent"/>
    <w:basedOn w:val="Normal"/>
    <w:link w:val="RecuodecorpodetextoChar"/>
    <w:uiPriority w:val="99"/>
    <w:semiHidden/>
    <w:unhideWhenUsed/>
    <w:rsid w:val="00752D93"/>
    <w:pPr>
      <w:tabs>
        <w:tab w:val="left" w:pos="3168"/>
        <w:tab w:val="left" w:pos="3888"/>
        <w:tab w:val="left" w:pos="4608"/>
        <w:tab w:val="left" w:pos="5328"/>
        <w:tab w:val="left" w:pos="6048"/>
        <w:tab w:val="left" w:pos="6768"/>
      </w:tabs>
      <w:spacing w:before="120" w:after="0" w:line="240" w:lineRule="auto"/>
      <w:ind w:left="4253"/>
      <w:jc w:val="both"/>
    </w:pPr>
    <w:rPr>
      <w:rFonts w:ascii="Arial" w:eastAsia="Times New Roman" w:hAnsi="Arial" w:cs="Times New Roman"/>
      <w:i/>
      <w:szCs w:val="20"/>
      <w:lang w:val="x-none" w:eastAsia="x-none"/>
    </w:rPr>
  </w:style>
  <w:style w:type="character" w:customStyle="1" w:styleId="RecuodecorpodetextoChar">
    <w:name w:val="Recuo de corpo de texto Char"/>
    <w:basedOn w:val="Fontepargpadro"/>
    <w:link w:val="Recuodecorpodetexto"/>
    <w:uiPriority w:val="99"/>
    <w:semiHidden/>
    <w:rsid w:val="00752D93"/>
    <w:rPr>
      <w:rFonts w:ascii="Arial" w:eastAsia="Times New Roman" w:hAnsi="Arial" w:cs="Times New Roman"/>
      <w:i/>
      <w:szCs w:val="20"/>
      <w:lang w:val="x-none" w:eastAsia="x-none"/>
    </w:rPr>
  </w:style>
  <w:style w:type="paragraph" w:styleId="Corpodetexto2">
    <w:name w:val="Body Text 2"/>
    <w:basedOn w:val="Normal"/>
    <w:link w:val="Corpodetexto2Char"/>
    <w:uiPriority w:val="99"/>
    <w:semiHidden/>
    <w:unhideWhenUsed/>
    <w:rsid w:val="00752D93"/>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after="0" w:line="360" w:lineRule="auto"/>
      <w:ind w:right="57"/>
      <w:jc w:val="both"/>
    </w:pPr>
    <w:rPr>
      <w:rFonts w:ascii="Arial" w:eastAsia="Times New Roman" w:hAnsi="Arial" w:cs="Times New Roman"/>
      <w:szCs w:val="20"/>
      <w:lang w:val="x-none" w:eastAsia="x-none"/>
    </w:rPr>
  </w:style>
  <w:style w:type="character" w:customStyle="1" w:styleId="Corpodetexto2Char">
    <w:name w:val="Corpo de texto 2 Char"/>
    <w:basedOn w:val="Fontepargpadro"/>
    <w:link w:val="Corpodetexto2"/>
    <w:uiPriority w:val="99"/>
    <w:semiHidden/>
    <w:rsid w:val="00752D93"/>
    <w:rPr>
      <w:rFonts w:ascii="Arial" w:eastAsia="Times New Roman" w:hAnsi="Arial" w:cs="Times New Roman"/>
      <w:szCs w:val="20"/>
      <w:lang w:val="x-none" w:eastAsia="x-none"/>
    </w:rPr>
  </w:style>
  <w:style w:type="table" w:styleId="Tabelacomgrade">
    <w:name w:val="Table Grid"/>
    <w:basedOn w:val="Tabelanormal"/>
    <w:uiPriority w:val="39"/>
    <w:rsid w:val="004631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993569">
      <w:bodyDiv w:val="1"/>
      <w:marLeft w:val="0"/>
      <w:marRight w:val="0"/>
      <w:marTop w:val="0"/>
      <w:marBottom w:val="0"/>
      <w:divBdr>
        <w:top w:val="none" w:sz="0" w:space="0" w:color="auto"/>
        <w:left w:val="none" w:sz="0" w:space="0" w:color="auto"/>
        <w:bottom w:val="none" w:sz="0" w:space="0" w:color="auto"/>
        <w:right w:val="none" w:sz="0" w:space="0" w:color="auto"/>
      </w:divBdr>
    </w:div>
    <w:div w:id="492066049">
      <w:bodyDiv w:val="1"/>
      <w:marLeft w:val="0"/>
      <w:marRight w:val="0"/>
      <w:marTop w:val="0"/>
      <w:marBottom w:val="0"/>
      <w:divBdr>
        <w:top w:val="none" w:sz="0" w:space="0" w:color="auto"/>
        <w:left w:val="none" w:sz="0" w:space="0" w:color="auto"/>
        <w:bottom w:val="none" w:sz="0" w:space="0" w:color="auto"/>
        <w:right w:val="none" w:sz="0" w:space="0" w:color="auto"/>
      </w:divBdr>
      <w:divsChild>
        <w:div w:id="2109151267">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1102</Words>
  <Characters>5955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Amarildo</dc:creator>
  <cp:lastModifiedBy>Mari</cp:lastModifiedBy>
  <cp:revision>4</cp:revision>
  <cp:lastPrinted>2017-01-30T18:10:00Z</cp:lastPrinted>
  <dcterms:created xsi:type="dcterms:W3CDTF">2017-05-10T19:10:00Z</dcterms:created>
  <dcterms:modified xsi:type="dcterms:W3CDTF">2017-05-11T12:08:00Z</dcterms:modified>
</cp:coreProperties>
</file>