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0514EB" w:rsidRDefault="00487662" w:rsidP="006D418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0514EB">
        <w:rPr>
          <w:rFonts w:ascii="Arial" w:eastAsia="Calibri" w:hAnsi="Arial" w:cs="Arial"/>
          <w:b/>
        </w:rPr>
        <w:t xml:space="preserve">COMISSÃO DE CONSTITUIÇÃO, JUSTIÇA E </w:t>
      </w:r>
      <w:proofErr w:type="gramStart"/>
      <w:r w:rsidRPr="000514EB">
        <w:rPr>
          <w:rFonts w:ascii="Arial" w:eastAsia="Calibri" w:hAnsi="Arial" w:cs="Arial"/>
          <w:b/>
        </w:rPr>
        <w:t>REDAÇÃO</w:t>
      </w:r>
      <w:proofErr w:type="gramEnd"/>
    </w:p>
    <w:p w:rsidR="00487662" w:rsidRPr="000514EB" w:rsidRDefault="00487662" w:rsidP="006D418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</w:p>
    <w:p w:rsidR="00487662" w:rsidRPr="000514EB" w:rsidRDefault="00487662" w:rsidP="006D418B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  <w:b/>
        </w:rPr>
        <w:t>Parecer:</w:t>
      </w:r>
      <w:r w:rsidRPr="000514EB">
        <w:rPr>
          <w:rFonts w:ascii="Arial" w:eastAsia="Calibri" w:hAnsi="Arial" w:cs="Arial"/>
        </w:rPr>
        <w:t xml:space="preserve"> 1</w:t>
      </w:r>
      <w:r w:rsidR="00434CA9" w:rsidRPr="000514EB">
        <w:rPr>
          <w:rFonts w:ascii="Arial" w:eastAsia="Calibri" w:hAnsi="Arial" w:cs="Arial"/>
        </w:rPr>
        <w:t>7</w:t>
      </w:r>
      <w:r w:rsidR="009761D9" w:rsidRPr="000514EB">
        <w:rPr>
          <w:rFonts w:ascii="Arial" w:eastAsia="Calibri" w:hAnsi="Arial" w:cs="Arial"/>
        </w:rPr>
        <w:t>3</w:t>
      </w:r>
      <w:r w:rsidRPr="000514EB">
        <w:rPr>
          <w:rFonts w:ascii="Arial" w:eastAsia="Calibri" w:hAnsi="Arial" w:cs="Arial"/>
        </w:rPr>
        <w:t>/2017</w:t>
      </w:r>
    </w:p>
    <w:p w:rsidR="00487662" w:rsidRPr="000514EB" w:rsidRDefault="00487662" w:rsidP="006D418B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  <w:b/>
        </w:rPr>
        <w:t>Data:</w:t>
      </w:r>
      <w:r w:rsidRPr="000514EB">
        <w:rPr>
          <w:rFonts w:ascii="Arial" w:eastAsia="Calibri" w:hAnsi="Arial" w:cs="Arial"/>
        </w:rPr>
        <w:t xml:space="preserve"> </w:t>
      </w:r>
      <w:r w:rsidR="00C20D7C" w:rsidRPr="000514EB">
        <w:rPr>
          <w:rFonts w:ascii="Arial" w:eastAsia="Calibri" w:hAnsi="Arial" w:cs="Arial"/>
        </w:rPr>
        <w:t>1</w:t>
      </w:r>
      <w:r w:rsidR="009761D9" w:rsidRPr="000514EB">
        <w:rPr>
          <w:rFonts w:ascii="Arial" w:eastAsia="Calibri" w:hAnsi="Arial" w:cs="Arial"/>
        </w:rPr>
        <w:t>9</w:t>
      </w:r>
      <w:r w:rsidRPr="000514EB">
        <w:rPr>
          <w:rFonts w:ascii="Arial" w:eastAsia="Calibri" w:hAnsi="Arial" w:cs="Arial"/>
        </w:rPr>
        <w:t xml:space="preserve"> de </w:t>
      </w:r>
      <w:r w:rsidR="004F0611" w:rsidRPr="000514EB">
        <w:rPr>
          <w:rFonts w:ascii="Arial" w:eastAsia="Calibri" w:hAnsi="Arial" w:cs="Arial"/>
        </w:rPr>
        <w:t>dez</w:t>
      </w:r>
      <w:r w:rsidRPr="000514EB">
        <w:rPr>
          <w:rFonts w:ascii="Arial" w:eastAsia="Calibri" w:hAnsi="Arial" w:cs="Arial"/>
        </w:rPr>
        <w:t>embro de 2017</w:t>
      </w:r>
    </w:p>
    <w:p w:rsidR="00487662" w:rsidRPr="000514EB" w:rsidRDefault="00487662" w:rsidP="006D418B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  <w:b/>
        </w:rPr>
        <w:t>Matéria:</w:t>
      </w:r>
      <w:r w:rsidRPr="000514EB">
        <w:rPr>
          <w:rFonts w:ascii="Arial" w:eastAsia="Calibri" w:hAnsi="Arial" w:cs="Arial"/>
        </w:rPr>
        <w:t xml:space="preserve"> Projeto de Lei nº 0</w:t>
      </w:r>
      <w:r w:rsidR="009761D9" w:rsidRPr="000514EB">
        <w:rPr>
          <w:rFonts w:ascii="Arial" w:eastAsia="Calibri" w:hAnsi="Arial" w:cs="Arial"/>
        </w:rPr>
        <w:t>70</w:t>
      </w:r>
      <w:r w:rsidRPr="000514EB">
        <w:rPr>
          <w:rFonts w:ascii="Arial" w:eastAsia="Calibri" w:hAnsi="Arial" w:cs="Arial"/>
        </w:rPr>
        <w:t xml:space="preserve">/2017 </w:t>
      </w:r>
    </w:p>
    <w:p w:rsidR="00487662" w:rsidRPr="000514EB" w:rsidRDefault="00487662" w:rsidP="006D418B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  <w:b/>
        </w:rPr>
        <w:t>Autor:</w:t>
      </w:r>
      <w:r w:rsidRPr="000514EB">
        <w:rPr>
          <w:rFonts w:ascii="Arial" w:eastAsia="Calibri" w:hAnsi="Arial" w:cs="Arial"/>
        </w:rPr>
        <w:t xml:space="preserve"> Poder Executivo</w:t>
      </w:r>
    </w:p>
    <w:p w:rsidR="00487662" w:rsidRPr="000514EB" w:rsidRDefault="00487662" w:rsidP="006D418B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  <w:b/>
        </w:rPr>
        <w:t>Relator:</w:t>
      </w:r>
      <w:r w:rsidR="00933E5A">
        <w:rPr>
          <w:rFonts w:ascii="Arial" w:eastAsia="Calibri" w:hAnsi="Arial" w:cs="Arial"/>
          <w:b/>
        </w:rPr>
        <w:t xml:space="preserve"> Ver. Manu </w:t>
      </w:r>
      <w:proofErr w:type="spellStart"/>
      <w:r w:rsidR="00933E5A">
        <w:rPr>
          <w:rFonts w:ascii="Arial" w:eastAsia="Calibri" w:hAnsi="Arial" w:cs="Arial"/>
          <w:b/>
        </w:rPr>
        <w:t>Caliari</w:t>
      </w:r>
      <w:proofErr w:type="spellEnd"/>
      <w:r w:rsidR="00375DA8" w:rsidRPr="000514EB">
        <w:rPr>
          <w:rFonts w:ascii="Arial" w:eastAsia="Calibri" w:hAnsi="Arial" w:cs="Arial"/>
        </w:rPr>
        <w:tab/>
        <w:t xml:space="preserve">     </w:t>
      </w:r>
      <w:r w:rsidR="004F0611" w:rsidRPr="000514EB">
        <w:rPr>
          <w:rFonts w:ascii="Arial" w:eastAsia="Calibri" w:hAnsi="Arial" w:cs="Arial"/>
        </w:rPr>
        <w:tab/>
      </w:r>
      <w:r w:rsidRPr="000514EB">
        <w:rPr>
          <w:rFonts w:ascii="Arial" w:eastAsia="Calibri" w:hAnsi="Arial" w:cs="Arial"/>
          <w:b/>
        </w:rPr>
        <w:t>Conclusão do Voto:</w:t>
      </w:r>
      <w:r w:rsidRPr="000514EB">
        <w:rPr>
          <w:rFonts w:ascii="Arial" w:eastAsia="Calibri" w:hAnsi="Arial" w:cs="Arial"/>
        </w:rPr>
        <w:t xml:space="preserve"> </w:t>
      </w:r>
      <w:r w:rsidR="00375DA8" w:rsidRPr="000514EB">
        <w:rPr>
          <w:rFonts w:ascii="Arial" w:eastAsia="Calibri" w:hAnsi="Arial" w:cs="Arial"/>
        </w:rPr>
        <w:t>favorável</w:t>
      </w:r>
    </w:p>
    <w:p w:rsidR="00487662" w:rsidRPr="000514EB" w:rsidRDefault="00487662" w:rsidP="009761D9">
      <w:pPr>
        <w:pStyle w:val="Default"/>
        <w:rPr>
          <w:rFonts w:ascii="Arial" w:eastAsia="Calibri" w:hAnsi="Arial" w:cs="Arial"/>
          <w:b/>
          <w:bCs/>
          <w:sz w:val="22"/>
          <w:szCs w:val="22"/>
        </w:rPr>
      </w:pPr>
      <w:r w:rsidRPr="000514EB">
        <w:rPr>
          <w:rFonts w:ascii="Arial" w:eastAsia="Calibri" w:hAnsi="Arial" w:cs="Arial"/>
          <w:b/>
          <w:sz w:val="22"/>
          <w:szCs w:val="22"/>
        </w:rPr>
        <w:t xml:space="preserve">Ementa: </w:t>
      </w:r>
      <w:r w:rsidRPr="000514EB">
        <w:rPr>
          <w:rFonts w:ascii="Arial" w:eastAsia="Calibri" w:hAnsi="Arial" w:cs="Arial"/>
          <w:sz w:val="22"/>
          <w:szCs w:val="22"/>
        </w:rPr>
        <w:t>“</w:t>
      </w:r>
      <w:r w:rsidR="009761D9" w:rsidRPr="000514EB">
        <w:rPr>
          <w:rFonts w:ascii="Arial" w:eastAsia="Calibri" w:hAnsi="Arial" w:cs="Arial"/>
          <w:sz w:val="22"/>
          <w:szCs w:val="22"/>
        </w:rPr>
        <w:t>Institui a Taxa de Licenciamento Ambiental</w:t>
      </w:r>
      <w:r w:rsidRPr="000514EB">
        <w:rPr>
          <w:rFonts w:ascii="Arial" w:eastAsia="Calibri" w:hAnsi="Arial" w:cs="Arial"/>
          <w:iCs/>
          <w:sz w:val="22"/>
          <w:szCs w:val="22"/>
        </w:rPr>
        <w:t>”.</w:t>
      </w:r>
    </w:p>
    <w:p w:rsidR="00487662" w:rsidRPr="000514EB" w:rsidRDefault="00487662" w:rsidP="006D418B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</w:rPr>
      </w:pPr>
    </w:p>
    <w:p w:rsidR="00487662" w:rsidRPr="000514EB" w:rsidRDefault="00487662" w:rsidP="006D418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0514EB">
        <w:rPr>
          <w:rFonts w:ascii="Arial" w:eastAsia="Calibri" w:hAnsi="Arial" w:cs="Arial"/>
          <w:b/>
        </w:rPr>
        <w:t>Relatório:</w:t>
      </w:r>
    </w:p>
    <w:p w:rsidR="00487662" w:rsidRPr="000514EB" w:rsidRDefault="00487662" w:rsidP="009761D9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ab/>
        <w:t xml:space="preserve">O Projeto de Lei em análise foi apresentado nesta Casa Legislativa no dia </w:t>
      </w:r>
      <w:r w:rsidR="009761D9" w:rsidRPr="000514EB">
        <w:rPr>
          <w:rFonts w:ascii="Arial" w:eastAsia="Calibri" w:hAnsi="Arial" w:cs="Arial"/>
        </w:rPr>
        <w:t>14</w:t>
      </w:r>
      <w:r w:rsidRPr="000514EB">
        <w:rPr>
          <w:rFonts w:ascii="Arial" w:eastAsia="Calibri" w:hAnsi="Arial" w:cs="Arial"/>
        </w:rPr>
        <w:t xml:space="preserve"> de </w:t>
      </w:r>
      <w:r w:rsidR="00434CA9" w:rsidRPr="000514EB">
        <w:rPr>
          <w:rFonts w:ascii="Arial" w:eastAsia="Calibri" w:hAnsi="Arial" w:cs="Arial"/>
        </w:rPr>
        <w:t>dez</w:t>
      </w:r>
      <w:r w:rsidR="008F7957" w:rsidRPr="000514EB">
        <w:rPr>
          <w:rFonts w:ascii="Arial" w:eastAsia="Calibri" w:hAnsi="Arial" w:cs="Arial"/>
        </w:rPr>
        <w:t>em</w:t>
      </w:r>
      <w:r w:rsidRPr="000514EB">
        <w:rPr>
          <w:rFonts w:ascii="Arial" w:eastAsia="Calibri" w:hAnsi="Arial" w:cs="Arial"/>
        </w:rPr>
        <w:t>bro de 2017,</w:t>
      </w:r>
      <w:r w:rsidR="008F7957" w:rsidRPr="000514EB">
        <w:rPr>
          <w:rFonts w:ascii="Arial" w:eastAsia="Calibri" w:hAnsi="Arial" w:cs="Arial"/>
        </w:rPr>
        <w:t xml:space="preserve"> que</w:t>
      </w:r>
      <w:r w:rsidR="0098342C" w:rsidRPr="000514EB">
        <w:rPr>
          <w:rFonts w:ascii="Arial" w:eastAsia="Calibri" w:hAnsi="Arial" w:cs="Arial"/>
        </w:rPr>
        <w:t xml:space="preserve"> requer autorização legislativa </w:t>
      </w:r>
      <w:proofErr w:type="gramStart"/>
      <w:r w:rsidR="0098342C" w:rsidRPr="000514EB">
        <w:rPr>
          <w:rFonts w:ascii="Arial" w:eastAsia="Calibri" w:hAnsi="Arial" w:cs="Arial"/>
        </w:rPr>
        <w:t>para</w:t>
      </w:r>
      <w:proofErr w:type="gramEnd"/>
      <w:r w:rsidR="0098342C" w:rsidRPr="000514EB">
        <w:rPr>
          <w:rFonts w:ascii="Arial" w:eastAsia="Calibri" w:hAnsi="Arial" w:cs="Arial"/>
        </w:rPr>
        <w:t xml:space="preserve"> </w:t>
      </w:r>
      <w:proofErr w:type="gramStart"/>
      <w:r w:rsidR="009761D9" w:rsidRPr="000514EB">
        <w:rPr>
          <w:rFonts w:ascii="Arial" w:eastAsia="Calibri" w:hAnsi="Arial" w:cs="Arial"/>
        </w:rPr>
        <w:t>instituir</w:t>
      </w:r>
      <w:proofErr w:type="gramEnd"/>
      <w:r w:rsidR="009761D9" w:rsidRPr="000514EB">
        <w:rPr>
          <w:rFonts w:ascii="Arial" w:eastAsia="Calibri" w:hAnsi="Arial" w:cs="Arial"/>
        </w:rPr>
        <w:t xml:space="preserve"> Taxa de Licenciamento Ambiental sobre novas licenças que integrarão a legislação ambiental, a ser ampliada, modernizada e regulamentada em 2018</w:t>
      </w:r>
      <w:r w:rsidR="000B17DF" w:rsidRPr="000514EB">
        <w:rPr>
          <w:rFonts w:ascii="Arial" w:eastAsia="Calibri" w:hAnsi="Arial" w:cs="Arial"/>
        </w:rPr>
        <w:t>.</w:t>
      </w:r>
      <w:r w:rsidR="009761D9" w:rsidRPr="000514EB">
        <w:rPr>
          <w:rFonts w:ascii="Arial" w:eastAsia="Calibri" w:hAnsi="Arial" w:cs="Arial"/>
        </w:rPr>
        <w:t xml:space="preserve"> Aduz na justificativa que a proposição em exame tem por objetivo viabilizar a atualização de instrumento normativo adequado que propicie a definição dos procedimentos administrativos para apresentação do requerimento quanto ao pedido de dispensa do licenciamento ambiental, autorização ambiental e, principalmente, inovando a legislação municipal quando da adoção de outras modalidades de licenciamento ambiental, no âmbito das atividades e empreendimentos definido como de impacto local, passível do recebimento da declaração de isenção ou do licenciamento ambiental ordinário. Acrescenta também que a inclusão das taxas no Código Tributário Municipal permitirá a emissão de documentos </w:t>
      </w:r>
      <w:proofErr w:type="spellStart"/>
      <w:r w:rsidR="009761D9" w:rsidRPr="000514EB">
        <w:rPr>
          <w:rFonts w:ascii="Arial" w:eastAsia="Calibri" w:hAnsi="Arial" w:cs="Arial"/>
        </w:rPr>
        <w:t>licenciatórios</w:t>
      </w:r>
      <w:proofErr w:type="spellEnd"/>
      <w:r w:rsidR="009761D9" w:rsidRPr="000514EB">
        <w:rPr>
          <w:rFonts w:ascii="Arial" w:eastAsia="Calibri" w:hAnsi="Arial" w:cs="Arial"/>
        </w:rPr>
        <w:t xml:space="preserve">, tais como: autorização ambiental, declaração de isenção, licença única – LU, licença prévia de instalação e de operação (LP, LI e LO) e respectivas renovações, licença prévia e de instalação (LPI), licença de instalação e operação (LIO), licença prévia de ampliação (LPA), licença de instalação de ampliação (LIA), licença de instalação e modernização (LIM), licença de operação e modernização (LOM) para empreendimentos ou para o exercício de atividades potencialmente poluidoras ou utilizadoras de recursos naturais, dando maior celeridade e eficiência aos procedimentos administrativos. Por fim, que a atualização e readequação do CTM, com a criação das respetivas taxas decorrentes de novas licenças visam atender os preceitos da Política Nacional de Meio Ambiente, mediante o cumprimento dos princípios ambientais aliados as diretrizes constantes na LC 140/2011 e resolução CONSEMA 288/2014, o que vai </w:t>
      </w:r>
      <w:proofErr w:type="gramStart"/>
      <w:r w:rsidR="009761D9" w:rsidRPr="000514EB">
        <w:rPr>
          <w:rFonts w:ascii="Arial" w:eastAsia="Calibri" w:hAnsi="Arial" w:cs="Arial"/>
        </w:rPr>
        <w:t>otimizar</w:t>
      </w:r>
      <w:proofErr w:type="gramEnd"/>
      <w:r w:rsidR="009761D9" w:rsidRPr="000514EB">
        <w:rPr>
          <w:rFonts w:ascii="Arial" w:eastAsia="Calibri" w:hAnsi="Arial" w:cs="Arial"/>
        </w:rPr>
        <w:t xml:space="preserve"> os recursos humanos e materiais disponíveis na Secretaria de Meio Ambiente, e contribuir para maior celeridade e economia processual. </w:t>
      </w:r>
      <w:r w:rsidRPr="000514EB">
        <w:rPr>
          <w:rFonts w:ascii="Arial" w:eastAsia="Calibri" w:hAnsi="Arial" w:cs="Arial"/>
        </w:rPr>
        <w:t xml:space="preserve">O projeto já foi analisado pela Procuradora Geral da Casa, a qual proferiu parecer jurídico nº </w:t>
      </w:r>
      <w:r w:rsidR="00434CA9" w:rsidRPr="000514EB">
        <w:rPr>
          <w:rFonts w:ascii="Arial" w:eastAsia="Calibri" w:hAnsi="Arial" w:cs="Arial"/>
        </w:rPr>
        <w:t>9</w:t>
      </w:r>
      <w:r w:rsidR="009761D9" w:rsidRPr="000514EB">
        <w:rPr>
          <w:rFonts w:ascii="Arial" w:eastAsia="Calibri" w:hAnsi="Arial" w:cs="Arial"/>
        </w:rPr>
        <w:t>8</w:t>
      </w:r>
      <w:r w:rsidRPr="000514EB">
        <w:rPr>
          <w:rFonts w:ascii="Arial" w:eastAsia="Calibri" w:hAnsi="Arial" w:cs="Arial"/>
        </w:rPr>
        <w:t>/2017</w:t>
      </w:r>
      <w:r w:rsidR="00375DA8" w:rsidRPr="000514EB">
        <w:rPr>
          <w:rFonts w:ascii="Arial" w:eastAsia="Calibri" w:hAnsi="Arial" w:cs="Arial"/>
        </w:rPr>
        <w:t>,</w:t>
      </w:r>
      <w:r w:rsidRPr="000514EB">
        <w:rPr>
          <w:rFonts w:ascii="Arial" w:eastAsia="Calibri" w:hAnsi="Arial" w:cs="Arial"/>
        </w:rPr>
        <w:t xml:space="preserve"> </w:t>
      </w:r>
      <w:r w:rsidR="00375DA8" w:rsidRPr="000514EB">
        <w:rPr>
          <w:rFonts w:ascii="Arial" w:hAnsi="Arial" w:cs="Arial"/>
          <w:b/>
          <w:bCs/>
        </w:rPr>
        <w:t xml:space="preserve">favorável </w:t>
      </w:r>
      <w:r w:rsidR="00375DA8" w:rsidRPr="000514EB">
        <w:rPr>
          <w:rFonts w:ascii="Arial" w:hAnsi="Arial" w:cs="Arial"/>
        </w:rPr>
        <w:t>à tramitação</w:t>
      </w:r>
      <w:r w:rsidR="00C20D7C" w:rsidRPr="000514EB">
        <w:rPr>
          <w:rFonts w:ascii="Arial" w:hAnsi="Arial" w:cs="Arial"/>
        </w:rPr>
        <w:t xml:space="preserve"> </w:t>
      </w:r>
      <w:r w:rsidR="00434CA9" w:rsidRPr="000514EB">
        <w:rPr>
          <w:rFonts w:ascii="Arial" w:hAnsi="Arial" w:cs="Arial"/>
        </w:rPr>
        <w:t>d</w:t>
      </w:r>
      <w:r w:rsidR="00F527C6" w:rsidRPr="000514EB">
        <w:rPr>
          <w:rFonts w:ascii="Arial" w:hAnsi="Arial" w:cs="Arial"/>
        </w:rPr>
        <w:t xml:space="preserve">o PL </w:t>
      </w:r>
      <w:r w:rsidR="009761D9" w:rsidRPr="000514EB">
        <w:rPr>
          <w:rFonts w:ascii="Arial" w:hAnsi="Arial" w:cs="Arial"/>
        </w:rPr>
        <w:t>70</w:t>
      </w:r>
      <w:r w:rsidR="00F527C6" w:rsidRPr="000514EB">
        <w:rPr>
          <w:rFonts w:ascii="Arial" w:hAnsi="Arial" w:cs="Arial"/>
        </w:rPr>
        <w:t>/2017</w:t>
      </w:r>
      <w:r w:rsidR="00434CA9" w:rsidRPr="000514EB">
        <w:rPr>
          <w:rFonts w:ascii="Arial" w:hAnsi="Arial" w:cs="Arial"/>
        </w:rPr>
        <w:t>,</w:t>
      </w:r>
      <w:r w:rsidR="00F527C6" w:rsidRPr="000514EB">
        <w:rPr>
          <w:rFonts w:ascii="Arial" w:hAnsi="Arial" w:cs="Arial"/>
        </w:rPr>
        <w:t xml:space="preserve"> </w:t>
      </w:r>
      <w:r w:rsidR="006C4A65" w:rsidRPr="000514EB">
        <w:rPr>
          <w:rFonts w:ascii="Arial" w:hAnsi="Arial" w:cs="Arial"/>
        </w:rPr>
        <w:t>pois atende as normas legais impostas, estando presentes a legalidade e constitucionalidade.</w:t>
      </w:r>
      <w:r w:rsidR="00375DA8" w:rsidRPr="000514EB">
        <w:rPr>
          <w:rFonts w:ascii="Arial" w:hAnsi="Arial" w:cs="Arial"/>
          <w:b/>
          <w:bCs/>
        </w:rPr>
        <w:t xml:space="preserve"> </w:t>
      </w:r>
      <w:r w:rsidRPr="000514EB">
        <w:rPr>
          <w:rFonts w:ascii="Arial" w:eastAsia="Calibri" w:hAnsi="Arial" w:cs="Arial"/>
        </w:rPr>
        <w:t>Tal parecer jurídico embasa a elaboração do presente parecer.</w:t>
      </w:r>
    </w:p>
    <w:p w:rsidR="00C518D5" w:rsidRPr="000514EB" w:rsidRDefault="00C518D5" w:rsidP="006D418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</w:p>
    <w:p w:rsidR="00487662" w:rsidRPr="000514EB" w:rsidRDefault="00487662" w:rsidP="006D418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0514EB">
        <w:rPr>
          <w:rFonts w:ascii="Arial" w:eastAsia="Calibri" w:hAnsi="Arial" w:cs="Arial"/>
          <w:b/>
        </w:rPr>
        <w:t>Análise:</w:t>
      </w:r>
    </w:p>
    <w:p w:rsidR="00487662" w:rsidRPr="000514EB" w:rsidRDefault="00487662" w:rsidP="006D418B">
      <w:pPr>
        <w:spacing w:line="240" w:lineRule="auto"/>
        <w:ind w:firstLine="2268"/>
        <w:jc w:val="both"/>
        <w:rPr>
          <w:rFonts w:ascii="Arial" w:eastAsia="Calibri" w:hAnsi="Arial" w:cs="Arial"/>
          <w:b/>
          <w:u w:val="single"/>
        </w:rPr>
      </w:pPr>
      <w:r w:rsidRPr="000514EB">
        <w:rPr>
          <w:rFonts w:ascii="Arial" w:eastAsia="Calibri" w:hAnsi="Arial" w:cs="Arial"/>
        </w:rPr>
        <w:t xml:space="preserve">Quando à </w:t>
      </w:r>
      <w:r w:rsidRPr="000514EB">
        <w:rPr>
          <w:rFonts w:ascii="Arial" w:eastAsia="Calibri" w:hAnsi="Arial" w:cs="Arial"/>
          <w:b/>
          <w:u w:val="single"/>
        </w:rPr>
        <w:t>constitucionalidade e legalidade</w:t>
      </w:r>
    </w:p>
    <w:p w:rsidR="003C2C8D" w:rsidRPr="000514EB" w:rsidRDefault="003C2C8D" w:rsidP="003C2C8D">
      <w:pPr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lastRenderedPageBreak/>
        <w:t xml:space="preserve">A Constituição Federal estabelece competência aos municípios para legislarem sobre assuntos de interesse local, bem como para instituir e arrecadar tributos de sua competência, consoante o disposto no art. 30, I e III, da Constituição Federal, senão vejamos: </w:t>
      </w:r>
    </w:p>
    <w:p w:rsidR="003C2C8D" w:rsidRPr="00490DFF" w:rsidRDefault="003C2C8D" w:rsidP="003C2C8D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proofErr w:type="gramStart"/>
      <w:r w:rsidRPr="00490DFF">
        <w:rPr>
          <w:rFonts w:ascii="Arial" w:eastAsia="Calibri" w:hAnsi="Arial" w:cs="Arial"/>
          <w:i/>
          <w:iCs/>
          <w:sz w:val="20"/>
        </w:rPr>
        <w:t>“Art. 30.</w:t>
      </w:r>
      <w:proofErr w:type="gramEnd"/>
      <w:r w:rsidRPr="00490DFF">
        <w:rPr>
          <w:rFonts w:ascii="Arial" w:eastAsia="Calibri" w:hAnsi="Arial" w:cs="Arial"/>
          <w:i/>
          <w:iCs/>
          <w:sz w:val="20"/>
        </w:rPr>
        <w:t xml:space="preserve"> Compete aos Municípios: </w:t>
      </w:r>
    </w:p>
    <w:p w:rsidR="003C2C8D" w:rsidRPr="00490DFF" w:rsidRDefault="003C2C8D" w:rsidP="003C2C8D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I - legislar sobre assuntos de interesse local; </w:t>
      </w:r>
    </w:p>
    <w:p w:rsidR="003C2C8D" w:rsidRPr="00490DFF" w:rsidRDefault="003C2C8D" w:rsidP="003C2C8D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(...) </w:t>
      </w:r>
    </w:p>
    <w:p w:rsidR="003C2C8D" w:rsidRPr="00490DFF" w:rsidRDefault="003C2C8D" w:rsidP="003C2C8D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proofErr w:type="gramStart"/>
      <w:r w:rsidRPr="00490DFF">
        <w:rPr>
          <w:rFonts w:ascii="Arial" w:eastAsia="Calibri" w:hAnsi="Arial" w:cs="Arial"/>
          <w:i/>
          <w:iCs/>
          <w:sz w:val="20"/>
        </w:rPr>
        <w:t>III - instituir e arrecadar os tributos de sua competência, bem como aplicar suas rendas, sem prejuízo da obrigatoriedade de prestar contas e publicar balancetes nos prazos fixados em lei;”</w:t>
      </w:r>
      <w:proofErr w:type="gramEnd"/>
      <w:r w:rsidRPr="00490DFF">
        <w:rPr>
          <w:rFonts w:ascii="Arial" w:eastAsia="Calibri" w:hAnsi="Arial" w:cs="Arial"/>
          <w:i/>
          <w:iCs/>
          <w:sz w:val="20"/>
        </w:rPr>
        <w:t xml:space="preserve"> </w:t>
      </w:r>
    </w:p>
    <w:p w:rsidR="003C2C8D" w:rsidRPr="000514EB" w:rsidRDefault="003C2C8D" w:rsidP="0053678C">
      <w:pPr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Na Lei Orgânica, o art. 9º, estabelece os tributos de competência municipal, assim dispondo: </w:t>
      </w:r>
    </w:p>
    <w:p w:rsidR="003C2C8D" w:rsidRPr="00490DFF" w:rsidRDefault="003C2C8D" w:rsidP="0053678C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proofErr w:type="gramStart"/>
      <w:r w:rsidRPr="00490DFF">
        <w:rPr>
          <w:rFonts w:ascii="Arial" w:eastAsia="Calibri" w:hAnsi="Arial" w:cs="Arial"/>
          <w:i/>
          <w:iCs/>
          <w:sz w:val="20"/>
        </w:rPr>
        <w:t xml:space="preserve">“Art. 9º São tributos de competência municipal: </w:t>
      </w:r>
    </w:p>
    <w:p w:rsidR="003C2C8D" w:rsidRPr="00490DFF" w:rsidRDefault="003C2C8D" w:rsidP="0053678C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proofErr w:type="gramEnd"/>
      <w:r w:rsidRPr="00490DFF">
        <w:rPr>
          <w:rFonts w:ascii="Arial" w:eastAsia="Calibri" w:hAnsi="Arial" w:cs="Arial"/>
          <w:i/>
          <w:iCs/>
          <w:sz w:val="20"/>
        </w:rPr>
        <w:t xml:space="preserve">(...) </w:t>
      </w:r>
    </w:p>
    <w:p w:rsidR="003C2C8D" w:rsidRPr="00490DFF" w:rsidRDefault="003C2C8D" w:rsidP="0053678C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II – Taxas; </w:t>
      </w:r>
    </w:p>
    <w:p w:rsidR="003C2C8D" w:rsidRPr="000514EB" w:rsidRDefault="003C2C8D" w:rsidP="000514EB">
      <w:pPr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Conforme a Constituição Federal, art. 145, II, os municípios poderão instituir os seguintes tributos: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Art. 145. A União, os Estados, o Distrito Federal e os Municípios poderão instituir os seguintes tributos: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(...)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II – taxas, em razão do exercício do poder de polícia ou pela utilização, efetiva ou potencial, de serviços públicos específicos e divisíveis, prestados ao contribuinte ou postos à sua disposição; </w:t>
      </w:r>
    </w:p>
    <w:p w:rsidR="003C2C8D" w:rsidRPr="000514EB" w:rsidRDefault="003C2C8D" w:rsidP="000514EB">
      <w:pPr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No Código Tributário nacional, as Taxas estão regulamentadas nos </w:t>
      </w:r>
      <w:proofErr w:type="spellStart"/>
      <w:r w:rsidRPr="000514EB">
        <w:rPr>
          <w:rFonts w:ascii="Arial" w:eastAsia="Calibri" w:hAnsi="Arial" w:cs="Arial"/>
        </w:rPr>
        <w:t>arts</w:t>
      </w:r>
      <w:proofErr w:type="spellEnd"/>
      <w:r w:rsidRPr="000514EB">
        <w:rPr>
          <w:rFonts w:ascii="Arial" w:eastAsia="Calibri" w:hAnsi="Arial" w:cs="Arial"/>
        </w:rPr>
        <w:t xml:space="preserve">. 77 a 79, assim dispostos: </w:t>
      </w:r>
    </w:p>
    <w:p w:rsidR="003C2C8D" w:rsidRPr="000514EB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  <w:i/>
          <w:iCs/>
        </w:rPr>
        <w:t xml:space="preserve">Taxas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Art. 77. As taxas cobradas pela União, pelos Estados, pelo Distrito Federal ou pelos Municípios, no âmbito de suas respectivas atribuições, têm como fato gerador o exercício regular do poder de polícia, ou a utilização, efetiva ou potencial, de serviço público específico e divisível, prestado ao contribuinte ou posto à sua disposição.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>Parágrafo único. A taxa não pode ter base de cálculo ou fato gerador idênticos aos que correspondam a imposto nem ser calculada em função do capital das empresas. (Vide Ato Complementar nº 34, de 1967</w:t>
      </w:r>
      <w:proofErr w:type="gramStart"/>
      <w:r w:rsidRPr="00490DFF">
        <w:rPr>
          <w:rFonts w:ascii="Arial" w:eastAsia="Calibri" w:hAnsi="Arial" w:cs="Arial"/>
          <w:i/>
          <w:iCs/>
          <w:sz w:val="20"/>
        </w:rPr>
        <w:t>)</w:t>
      </w:r>
      <w:proofErr w:type="gramEnd"/>
      <w:r w:rsidRPr="00490DFF">
        <w:rPr>
          <w:rFonts w:ascii="Arial" w:eastAsia="Calibri" w:hAnsi="Arial" w:cs="Arial"/>
          <w:i/>
          <w:iCs/>
          <w:sz w:val="20"/>
        </w:rPr>
        <w:t xml:space="preserve">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Art. 78. Considera-se poder de polícia atividade da administração pública que, limitando ou disciplinando direito, </w:t>
      </w:r>
      <w:proofErr w:type="spellStart"/>
      <w:r w:rsidRPr="00490DFF">
        <w:rPr>
          <w:rFonts w:ascii="Arial" w:eastAsia="Calibri" w:hAnsi="Arial" w:cs="Arial"/>
          <w:i/>
          <w:iCs/>
          <w:sz w:val="20"/>
        </w:rPr>
        <w:t>interêsse</w:t>
      </w:r>
      <w:proofErr w:type="spellEnd"/>
      <w:r w:rsidRPr="00490DFF">
        <w:rPr>
          <w:rFonts w:ascii="Arial" w:eastAsia="Calibri" w:hAnsi="Arial" w:cs="Arial"/>
          <w:i/>
          <w:iCs/>
          <w:sz w:val="20"/>
        </w:rPr>
        <w:t xml:space="preserve"> ou liberdade, regula a prática de ato ou abstenção de fato, em razão de </w:t>
      </w:r>
      <w:proofErr w:type="spellStart"/>
      <w:r w:rsidRPr="00490DFF">
        <w:rPr>
          <w:rFonts w:ascii="Arial" w:eastAsia="Calibri" w:hAnsi="Arial" w:cs="Arial"/>
          <w:i/>
          <w:iCs/>
          <w:sz w:val="20"/>
        </w:rPr>
        <w:t>intêresse</w:t>
      </w:r>
      <w:proofErr w:type="spellEnd"/>
      <w:r w:rsidRPr="00490DFF">
        <w:rPr>
          <w:rFonts w:ascii="Arial" w:eastAsia="Calibri" w:hAnsi="Arial" w:cs="Arial"/>
          <w:i/>
          <w:iCs/>
          <w:sz w:val="20"/>
        </w:rPr>
        <w:t xml:space="preserve"> público concernente à segurança, à higiene, à ordem, aos costumes, à disciplina da produção e do mercado, ao exercício de atividades econômicas dependentes de concessão ou autorização do Poder Público, à </w:t>
      </w:r>
      <w:proofErr w:type="spellStart"/>
      <w:r w:rsidRPr="00490DFF">
        <w:rPr>
          <w:rFonts w:ascii="Arial" w:eastAsia="Calibri" w:hAnsi="Arial" w:cs="Arial"/>
          <w:i/>
          <w:iCs/>
          <w:sz w:val="20"/>
        </w:rPr>
        <w:t>tranqüilidade</w:t>
      </w:r>
      <w:proofErr w:type="spellEnd"/>
      <w:r w:rsidRPr="00490DFF">
        <w:rPr>
          <w:rFonts w:ascii="Arial" w:eastAsia="Calibri" w:hAnsi="Arial" w:cs="Arial"/>
          <w:i/>
          <w:iCs/>
          <w:sz w:val="20"/>
        </w:rPr>
        <w:t xml:space="preserve"> pública ou ao respeito à propriedade e aos direitos individuais ou coletivos. (Redação dada pelo Ato Complementar nº 31, de 1966</w:t>
      </w:r>
      <w:proofErr w:type="gramStart"/>
      <w:r w:rsidRPr="00490DFF">
        <w:rPr>
          <w:rFonts w:ascii="Arial" w:eastAsia="Calibri" w:hAnsi="Arial" w:cs="Arial"/>
          <w:i/>
          <w:iCs/>
          <w:sz w:val="20"/>
        </w:rPr>
        <w:t>)</w:t>
      </w:r>
      <w:proofErr w:type="gramEnd"/>
      <w:r w:rsidRPr="00490DFF">
        <w:rPr>
          <w:rFonts w:ascii="Arial" w:eastAsia="Calibri" w:hAnsi="Arial" w:cs="Arial"/>
          <w:i/>
          <w:iCs/>
          <w:sz w:val="20"/>
        </w:rPr>
        <w:t xml:space="preserve">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lastRenderedPageBreak/>
        <w:t xml:space="preserve">Parágrafo único. Considera-se regular o exercício do poder de polícia quando desempenhado pelo órgão competente nos limites da lei aplicável, com observância do processo legal e, tratando-se de atividade que a lei tenha como discricionária, sem abuso ou desvio de poder.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Art. 79. Os serviços públicos a que se refere o artigo 77 consideram-se: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I - utilizados pelo contribuinte: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a) efetivamente, quando por ele usufruídos a qualquer título;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b) potencialmente, quando, sendo de utilização compulsória, sejam postos à sua disposição mediante atividade administrativa em efetivo funcionamento;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II - específicos, quando possam ser destacados em unidades autônomas de intervenção, de utilidade, ou de necessidades públicas;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III - divisíveis, quando suscetíveis de utilização, separadamente, por parte de cada um dos seus usuários.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>Art. 80. Para efeito de instituição e cobrança de taxas, consideram-se compreendidas no âmbito das atribuições da União, dos Estados, do Distrito Federal ou dos Municípios, aquelas que, segundo a Constituição Federal, as Constituições dos Estados, as Leis</w:t>
      </w:r>
      <w:r w:rsidR="000514EB" w:rsidRPr="00490DFF">
        <w:rPr>
          <w:rFonts w:ascii="Arial" w:eastAsia="Calibri" w:hAnsi="Arial" w:cs="Arial"/>
          <w:i/>
          <w:iCs/>
          <w:sz w:val="20"/>
        </w:rPr>
        <w:t xml:space="preserve"> </w:t>
      </w:r>
      <w:r w:rsidRPr="00490DFF">
        <w:rPr>
          <w:rFonts w:ascii="Arial" w:eastAsia="Calibri" w:hAnsi="Arial" w:cs="Arial"/>
          <w:i/>
          <w:iCs/>
          <w:sz w:val="20"/>
        </w:rPr>
        <w:t xml:space="preserve">Orgânicas do Distrito Federal e dos Municípios e a legislação com elas compatível, competem a cada uma dessas pessoas de direito público. </w:t>
      </w:r>
    </w:p>
    <w:p w:rsidR="003C2C8D" w:rsidRPr="000514EB" w:rsidRDefault="003C2C8D" w:rsidP="00490DFF">
      <w:pPr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Na Lei Municipal, Lei nº 2.158/2003 e suas alterações (CTM), </w:t>
      </w:r>
      <w:proofErr w:type="gramStart"/>
      <w:r w:rsidRPr="000514EB">
        <w:rPr>
          <w:rFonts w:ascii="Arial" w:eastAsia="Calibri" w:hAnsi="Arial" w:cs="Arial"/>
        </w:rPr>
        <w:t>encontramos</w:t>
      </w:r>
      <w:proofErr w:type="gramEnd"/>
      <w:r w:rsidRPr="000514EB">
        <w:rPr>
          <w:rFonts w:ascii="Arial" w:eastAsia="Calibri" w:hAnsi="Arial" w:cs="Arial"/>
        </w:rPr>
        <w:t xml:space="preserve"> as Taxas regulamentadas dentro dos tributos de competência municipal, senão vejamos: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b/>
          <w:bCs/>
          <w:i/>
          <w:iCs/>
          <w:sz w:val="20"/>
        </w:rPr>
        <w:t xml:space="preserve">Art. 2º </w:t>
      </w:r>
      <w:r w:rsidRPr="00490DFF">
        <w:rPr>
          <w:rFonts w:ascii="Arial" w:eastAsia="Calibri" w:hAnsi="Arial" w:cs="Arial"/>
          <w:i/>
          <w:iCs/>
          <w:sz w:val="20"/>
        </w:rPr>
        <w:t>Os tributos de competência do Município são os seguintes: (...</w:t>
      </w:r>
      <w:proofErr w:type="gramStart"/>
      <w:r w:rsidRPr="00490DFF">
        <w:rPr>
          <w:rFonts w:ascii="Arial" w:eastAsia="Calibri" w:hAnsi="Arial" w:cs="Arial"/>
          <w:i/>
          <w:iCs/>
          <w:sz w:val="20"/>
        </w:rPr>
        <w:t>)</w:t>
      </w:r>
      <w:proofErr w:type="gramEnd"/>
      <w:r w:rsidRPr="00490DFF">
        <w:rPr>
          <w:rFonts w:ascii="Arial" w:eastAsia="Calibri" w:hAnsi="Arial" w:cs="Arial"/>
          <w:i/>
          <w:iCs/>
          <w:sz w:val="20"/>
        </w:rPr>
        <w:t xml:space="preserve">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II - taxas de: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a) licença;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b) serviços Diversos;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c) coleta de lixo;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d) licença para publicidade. </w:t>
      </w:r>
    </w:p>
    <w:p w:rsidR="003C2C8D" w:rsidRPr="00490DFF" w:rsidRDefault="003C2C8D" w:rsidP="000514EB">
      <w:pPr>
        <w:spacing w:line="240" w:lineRule="auto"/>
        <w:ind w:left="1701"/>
        <w:jc w:val="both"/>
        <w:rPr>
          <w:rFonts w:ascii="Arial" w:eastAsia="Calibri" w:hAnsi="Arial" w:cs="Arial"/>
          <w:sz w:val="20"/>
        </w:rPr>
      </w:pPr>
      <w:r w:rsidRPr="00490DFF">
        <w:rPr>
          <w:rFonts w:ascii="Arial" w:eastAsia="Calibri" w:hAnsi="Arial" w:cs="Arial"/>
          <w:i/>
          <w:iCs/>
          <w:sz w:val="20"/>
        </w:rPr>
        <w:t xml:space="preserve">e) turismo sustentável (Redação acrescida pela Lei nº </w:t>
      </w:r>
      <w:r w:rsidRPr="00490DFF">
        <w:rPr>
          <w:rFonts w:ascii="Arial" w:eastAsia="Calibri" w:hAnsi="Arial" w:cs="Arial"/>
          <w:b/>
          <w:bCs/>
          <w:i/>
          <w:iCs/>
          <w:sz w:val="20"/>
        </w:rPr>
        <w:t>3461</w:t>
      </w:r>
      <w:r w:rsidRPr="00490DFF">
        <w:rPr>
          <w:rFonts w:ascii="Arial" w:eastAsia="Calibri" w:hAnsi="Arial" w:cs="Arial"/>
          <w:i/>
          <w:iCs/>
          <w:sz w:val="20"/>
        </w:rPr>
        <w:t xml:space="preserve">/2015) </w:t>
      </w:r>
    </w:p>
    <w:p w:rsidR="003C2C8D" w:rsidRPr="000514EB" w:rsidRDefault="003C2C8D" w:rsidP="000514EB">
      <w:pPr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As taxas são tributos cujo fato gerador é configurado por uma atuação estatal específica, referível ao contribuinte, que pode consistir: no exercício regular do poder de polícia; ou na prestação ao contribuinte, ou colocação à disposição deste, de serviço público específico e divisível. </w:t>
      </w:r>
    </w:p>
    <w:p w:rsidR="003C2C8D" w:rsidRPr="000514EB" w:rsidRDefault="003C2C8D" w:rsidP="000514EB">
      <w:pPr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A taxa diferencia-se do imposto, pois quando paga-se uma taxa, em contrapartida tem-se a prestação de um serviço público, razão pela qual se diz que a principal característica da taxa é a prestação de uma atividade estatal, divisível, destinada a um indivíduo ou para um grupo de indivíduos determináveis. </w:t>
      </w:r>
    </w:p>
    <w:p w:rsidR="003C2C8D" w:rsidRPr="000514EB" w:rsidRDefault="003C2C8D" w:rsidP="000514EB">
      <w:pPr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O fato gerador da taxa não é um fato do contribuinte, mas um fato do Estado. O Estado exerce determinada atividade e, por isso, cobra a taxa da pessoa a quem aproveita aquela atividade. A taxa possui caráter </w:t>
      </w:r>
      <w:proofErr w:type="spellStart"/>
      <w:r w:rsidRPr="000514EB">
        <w:rPr>
          <w:rFonts w:ascii="Arial" w:eastAsia="Calibri" w:hAnsi="Arial" w:cs="Arial"/>
        </w:rPr>
        <w:t>contraprestacional</w:t>
      </w:r>
      <w:proofErr w:type="spellEnd"/>
      <w:r w:rsidRPr="000514EB">
        <w:rPr>
          <w:rFonts w:ascii="Arial" w:eastAsia="Calibri" w:hAnsi="Arial" w:cs="Arial"/>
        </w:rPr>
        <w:t xml:space="preserve">, pois existe </w:t>
      </w:r>
      <w:r w:rsidRPr="000514EB">
        <w:rPr>
          <w:rFonts w:ascii="Arial" w:eastAsia="Calibri" w:hAnsi="Arial" w:cs="Arial"/>
        </w:rPr>
        <w:lastRenderedPageBreak/>
        <w:t xml:space="preserve">nela um benefício ou vantagem para o contribuinte, que por sua vez remunera o Estado por aquele serviço prestado. Ou seja, a taxa refere-se ao modo de financiamento próprio dos serviços divisíveis. </w:t>
      </w:r>
    </w:p>
    <w:p w:rsidR="003C2C8D" w:rsidRPr="000514EB" w:rsidRDefault="003C2C8D" w:rsidP="000514EB">
      <w:pPr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No caso pontual, ainda que </w:t>
      </w:r>
      <w:proofErr w:type="gramStart"/>
      <w:r w:rsidRPr="000514EB">
        <w:rPr>
          <w:rFonts w:ascii="Arial" w:eastAsia="Calibri" w:hAnsi="Arial" w:cs="Arial"/>
        </w:rPr>
        <w:t>existe</w:t>
      </w:r>
      <w:proofErr w:type="gramEnd"/>
      <w:r w:rsidRPr="000514EB">
        <w:rPr>
          <w:rFonts w:ascii="Arial" w:eastAsia="Calibri" w:hAnsi="Arial" w:cs="Arial"/>
        </w:rPr>
        <w:t xml:space="preserve"> ampla legislação ambiental vigente no município, informou a Secretária do meio Ambiente, em reunião presencial promovida na CCJR – Comissão de Constituição, Justiça e Redação, que a legislação ambiental vigente está desatualizada, e com muitas lacunas, o que necessita revisão completa. Que já ocorre estes estudos na Secretaria do Meio Ambiente e que ainda no primeiro semestre de 2018, deverá ser enviado ao Legislativo PL que proponha a reformulação da lei ambiental municipal, propondo a modernização e atualização da legislação vigente. Assim, importante </w:t>
      </w:r>
      <w:proofErr w:type="gramStart"/>
      <w:r w:rsidRPr="000514EB">
        <w:rPr>
          <w:rFonts w:ascii="Arial" w:eastAsia="Calibri" w:hAnsi="Arial" w:cs="Arial"/>
        </w:rPr>
        <w:t>a</w:t>
      </w:r>
      <w:proofErr w:type="gramEnd"/>
      <w:r w:rsidRPr="000514EB">
        <w:rPr>
          <w:rFonts w:ascii="Arial" w:eastAsia="Calibri" w:hAnsi="Arial" w:cs="Arial"/>
        </w:rPr>
        <w:t xml:space="preserve"> taxa estar criada neste exercício, para poder ser exigida no exercício seguinte, a partir da regulamentação da lei ambiental municipal, a ser aprovada por lei específica. </w:t>
      </w:r>
    </w:p>
    <w:p w:rsidR="003C2C8D" w:rsidRPr="000514EB" w:rsidRDefault="003C2C8D" w:rsidP="000514EB">
      <w:pPr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Neste sentido, reiteramos que como se trata da instituição de tributo, necessário observar a exigência do cumprimento do princípio da anterioridade. </w:t>
      </w:r>
    </w:p>
    <w:p w:rsidR="003C2C8D" w:rsidRPr="000514EB" w:rsidRDefault="003C2C8D" w:rsidP="000514EB">
      <w:pPr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Na legislação brasileira, este princípio está regulado pelo Art. 150 inciso III, b, c, da Constituição Federal determina que não </w:t>
      </w:r>
      <w:proofErr w:type="gramStart"/>
      <w:r w:rsidRPr="000514EB">
        <w:rPr>
          <w:rFonts w:ascii="Arial" w:eastAsia="Calibri" w:hAnsi="Arial" w:cs="Arial"/>
        </w:rPr>
        <w:t>poderá</w:t>
      </w:r>
      <w:proofErr w:type="gramEnd"/>
      <w:r w:rsidRPr="000514EB">
        <w:rPr>
          <w:rFonts w:ascii="Arial" w:eastAsia="Calibri" w:hAnsi="Arial" w:cs="Arial"/>
        </w:rPr>
        <w:t xml:space="preserve"> ser cobrado tributo no mesmo exercício financeiro em que haja sido publicada a lei que os instituiu ou aumentou e antes de decorridos noventa dias da data em que haja sido publicada a lei (</w:t>
      </w:r>
      <w:proofErr w:type="spellStart"/>
      <w:r w:rsidRPr="000514EB">
        <w:rPr>
          <w:rFonts w:ascii="Arial" w:eastAsia="Calibri" w:hAnsi="Arial" w:cs="Arial"/>
        </w:rPr>
        <w:t>noventena</w:t>
      </w:r>
      <w:proofErr w:type="spellEnd"/>
      <w:r w:rsidRPr="000514EB">
        <w:rPr>
          <w:rFonts w:ascii="Arial" w:eastAsia="Calibri" w:hAnsi="Arial" w:cs="Arial"/>
        </w:rPr>
        <w:t xml:space="preserve">). </w:t>
      </w:r>
    </w:p>
    <w:p w:rsidR="003C2C8D" w:rsidRPr="000514EB" w:rsidRDefault="003C2C8D" w:rsidP="000514EB">
      <w:pPr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Portanto, a aprovação da lei deve ocorrer neste exercício, caso pretenda o Executivo Municipal realizar a normatização da lei ambiental e efetivar a cobrança das respectivas taxas, pelas novas licenças regulamentadas, no exercício de 2018. </w:t>
      </w:r>
    </w:p>
    <w:p w:rsidR="003C2C8D" w:rsidRPr="000514EB" w:rsidRDefault="000514EB" w:rsidP="003C2C8D">
      <w:pPr>
        <w:spacing w:line="240" w:lineRule="auto"/>
        <w:ind w:firstLine="170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="003C2C8D" w:rsidRPr="000514EB">
        <w:rPr>
          <w:rFonts w:ascii="Arial" w:eastAsia="Calibri" w:hAnsi="Arial" w:cs="Arial"/>
        </w:rPr>
        <w:t xml:space="preserve"> Código Tributário Municipal deveria ter sido aprovado, desde a sua origem, como Lei Complementar, porque assim é definido na Lei Orgânica Municipal</w:t>
      </w:r>
      <w:r>
        <w:rPr>
          <w:rFonts w:ascii="Arial" w:eastAsia="Calibri" w:hAnsi="Arial" w:cs="Arial"/>
        </w:rPr>
        <w:t xml:space="preserve">, </w:t>
      </w:r>
      <w:r w:rsidR="003C2C8D" w:rsidRPr="000514EB">
        <w:rPr>
          <w:rFonts w:ascii="Arial" w:eastAsia="Calibri" w:hAnsi="Arial" w:cs="Arial"/>
        </w:rPr>
        <w:t xml:space="preserve">desta forma, que tanto a lei originária, como suas alterações, </w:t>
      </w:r>
      <w:proofErr w:type="gramStart"/>
      <w:r w:rsidR="003C2C8D" w:rsidRPr="000514EB">
        <w:rPr>
          <w:rFonts w:ascii="Arial" w:eastAsia="Calibri" w:hAnsi="Arial" w:cs="Arial"/>
        </w:rPr>
        <w:t>deveriam tramitar</w:t>
      </w:r>
      <w:proofErr w:type="gramEnd"/>
      <w:r w:rsidR="003C2C8D" w:rsidRPr="000514EB">
        <w:rPr>
          <w:rFonts w:ascii="Arial" w:eastAsia="Calibri" w:hAnsi="Arial" w:cs="Arial"/>
        </w:rPr>
        <w:t xml:space="preserve"> como “Lei Complementar”, que recebe registros específicos para tramitação e tem no quórum (aprovação por maioria absoluta), a sua principal diferença em relação as leis ordinárias, o que não ocorreu.</w:t>
      </w:r>
      <w:r>
        <w:rPr>
          <w:rFonts w:ascii="Arial" w:eastAsia="Calibri" w:hAnsi="Arial" w:cs="Arial"/>
        </w:rPr>
        <w:t xml:space="preserve"> C</w:t>
      </w:r>
      <w:r w:rsidRPr="000514EB">
        <w:rPr>
          <w:rFonts w:ascii="Arial" w:eastAsia="Calibri" w:hAnsi="Arial" w:cs="Arial"/>
        </w:rPr>
        <w:t xml:space="preserve">omo o Código Tributário Municipal foi aprovado na sua origem como lei ordinária, como também as suas alterações, em que pese não sendo a via correta, não nos parece viciado de ilegalidade, desde que observado o quórum exigido para as leis complementares, no caso, </w:t>
      </w:r>
      <w:r w:rsidRPr="000514EB">
        <w:rPr>
          <w:rFonts w:ascii="Arial" w:eastAsia="Calibri" w:hAnsi="Arial" w:cs="Arial"/>
          <w:b/>
          <w:bCs/>
        </w:rPr>
        <w:t>aprovação por maioria absoluta dos membros do Legislativo.</w:t>
      </w:r>
    </w:p>
    <w:p w:rsidR="00487662" w:rsidRPr="000514EB" w:rsidRDefault="00487662" w:rsidP="00151B56">
      <w:pPr>
        <w:spacing w:line="240" w:lineRule="auto"/>
        <w:jc w:val="center"/>
        <w:rPr>
          <w:rFonts w:ascii="Arial" w:eastAsia="Calibri" w:hAnsi="Arial" w:cs="Arial"/>
          <w:b/>
          <w:u w:val="single"/>
        </w:rPr>
      </w:pPr>
      <w:r w:rsidRPr="000514EB">
        <w:rPr>
          <w:rFonts w:ascii="Arial" w:eastAsia="Calibri" w:hAnsi="Arial" w:cs="Arial"/>
        </w:rPr>
        <w:t xml:space="preserve">Quanto à </w:t>
      </w:r>
      <w:r w:rsidRPr="000514EB">
        <w:rPr>
          <w:rFonts w:ascii="Arial" w:eastAsia="Calibri" w:hAnsi="Arial" w:cs="Arial"/>
          <w:b/>
          <w:u w:val="single"/>
        </w:rPr>
        <w:t>iniciativa</w:t>
      </w:r>
    </w:p>
    <w:p w:rsidR="00A95A5F" w:rsidRPr="000514EB" w:rsidRDefault="00A95A5F" w:rsidP="00A95A5F">
      <w:pPr>
        <w:spacing w:line="240" w:lineRule="auto"/>
        <w:ind w:firstLine="1701"/>
        <w:jc w:val="both"/>
        <w:rPr>
          <w:rFonts w:ascii="Arial" w:hAnsi="Arial" w:cs="Arial"/>
        </w:rPr>
      </w:pPr>
      <w:r w:rsidRPr="000514EB">
        <w:rPr>
          <w:rFonts w:ascii="Arial" w:hAnsi="Arial" w:cs="Arial"/>
        </w:rPr>
        <w:t xml:space="preserve">O projeto versa sobre instituição da TLA - Taxa de Licenciamento Ambiental, a ser cobrada quando da emissão de licenças decorrentes dos processos de análise e licenciamento ambiental, prestados pela Secretaria Municipal do Meio Ambiente. </w:t>
      </w:r>
    </w:p>
    <w:p w:rsidR="00A95A5F" w:rsidRPr="000514EB" w:rsidRDefault="00A95A5F" w:rsidP="00A95A5F">
      <w:pPr>
        <w:spacing w:line="240" w:lineRule="auto"/>
        <w:ind w:firstLine="1701"/>
        <w:jc w:val="both"/>
        <w:rPr>
          <w:rFonts w:ascii="Arial" w:hAnsi="Arial" w:cs="Arial"/>
        </w:rPr>
      </w:pPr>
      <w:r w:rsidRPr="000514EB">
        <w:rPr>
          <w:rFonts w:ascii="Arial" w:hAnsi="Arial" w:cs="Arial"/>
        </w:rPr>
        <w:t xml:space="preserve">As taxas instituídas no município são tributos municipais, cobradas pela contra prestação de algum serviço administrativo. No caso pontual, decorrentes da análise e fiscalização dos processos de licença e regularização dos projetos que envolvam o meio ambiente. </w:t>
      </w:r>
    </w:p>
    <w:p w:rsidR="00A95A5F" w:rsidRPr="000514EB" w:rsidRDefault="00A95A5F" w:rsidP="00A95A5F">
      <w:pPr>
        <w:spacing w:line="240" w:lineRule="auto"/>
        <w:ind w:firstLine="1701"/>
        <w:jc w:val="both"/>
        <w:rPr>
          <w:rFonts w:ascii="Arial" w:hAnsi="Arial" w:cs="Arial"/>
        </w:rPr>
      </w:pPr>
      <w:r w:rsidRPr="000514EB">
        <w:rPr>
          <w:rFonts w:ascii="Arial" w:hAnsi="Arial" w:cs="Arial"/>
        </w:rPr>
        <w:lastRenderedPageBreak/>
        <w:t xml:space="preserve">Neste sentido, </w:t>
      </w:r>
      <w:proofErr w:type="gramStart"/>
      <w:r w:rsidRPr="000514EB">
        <w:rPr>
          <w:rFonts w:ascii="Arial" w:hAnsi="Arial" w:cs="Arial"/>
        </w:rPr>
        <w:t>a iniciativa e competência para deflagrar o processo legislativo está</w:t>
      </w:r>
      <w:proofErr w:type="gramEnd"/>
      <w:r w:rsidRPr="000514EB">
        <w:rPr>
          <w:rFonts w:ascii="Arial" w:hAnsi="Arial" w:cs="Arial"/>
        </w:rPr>
        <w:t xml:space="preserve"> corretamente exercida, porquanto pertence ao Poder Executivo Municipal a competência privativa para iniciar o processo proposto, nos termos da Lei Orgânica Municipal, art. 60, incisos VI, X e XXI, senão vejamos: </w:t>
      </w:r>
    </w:p>
    <w:p w:rsidR="00A95A5F" w:rsidRPr="00490DFF" w:rsidRDefault="00A95A5F" w:rsidP="00A95A5F">
      <w:pPr>
        <w:spacing w:line="240" w:lineRule="auto"/>
        <w:ind w:left="1701"/>
        <w:jc w:val="both"/>
        <w:rPr>
          <w:rFonts w:ascii="Arial" w:hAnsi="Arial" w:cs="Arial"/>
          <w:sz w:val="20"/>
        </w:rPr>
      </w:pPr>
      <w:bookmarkStart w:id="0" w:name="_GoBack"/>
      <w:r w:rsidRPr="00490DFF">
        <w:rPr>
          <w:rFonts w:ascii="Arial" w:hAnsi="Arial" w:cs="Arial"/>
          <w:i/>
          <w:iCs/>
          <w:sz w:val="20"/>
        </w:rPr>
        <w:t xml:space="preserve">Art. 60 Compete privativamente ao Prefeito: </w:t>
      </w:r>
    </w:p>
    <w:p w:rsidR="00A95A5F" w:rsidRPr="00490DFF" w:rsidRDefault="00A95A5F" w:rsidP="00A95A5F">
      <w:pPr>
        <w:spacing w:line="240" w:lineRule="auto"/>
        <w:ind w:left="1701"/>
        <w:jc w:val="both"/>
        <w:rPr>
          <w:rFonts w:ascii="Arial" w:hAnsi="Arial" w:cs="Arial"/>
          <w:sz w:val="20"/>
        </w:rPr>
      </w:pPr>
      <w:r w:rsidRPr="00490DFF">
        <w:rPr>
          <w:rFonts w:ascii="Arial" w:hAnsi="Arial" w:cs="Arial"/>
          <w:i/>
          <w:iCs/>
          <w:sz w:val="20"/>
        </w:rPr>
        <w:t>(</w:t>
      </w:r>
      <w:proofErr w:type="gramStart"/>
      <w:r w:rsidRPr="00490DFF">
        <w:rPr>
          <w:rFonts w:ascii="Arial" w:hAnsi="Arial" w:cs="Arial"/>
          <w:i/>
          <w:iCs/>
          <w:sz w:val="20"/>
        </w:rPr>
        <w:t>,,,</w:t>
      </w:r>
      <w:proofErr w:type="gramEnd"/>
      <w:r w:rsidRPr="00490DFF">
        <w:rPr>
          <w:rFonts w:ascii="Arial" w:hAnsi="Arial" w:cs="Arial"/>
          <w:i/>
          <w:iCs/>
          <w:sz w:val="20"/>
        </w:rPr>
        <w:t xml:space="preserve">) </w:t>
      </w:r>
    </w:p>
    <w:p w:rsidR="00A95A5F" w:rsidRPr="00490DFF" w:rsidRDefault="00A95A5F" w:rsidP="00A95A5F">
      <w:pPr>
        <w:spacing w:line="240" w:lineRule="auto"/>
        <w:ind w:left="1701"/>
        <w:jc w:val="both"/>
        <w:rPr>
          <w:rFonts w:ascii="Arial" w:hAnsi="Arial" w:cs="Arial"/>
          <w:sz w:val="20"/>
        </w:rPr>
      </w:pPr>
      <w:r w:rsidRPr="00490DFF">
        <w:rPr>
          <w:rFonts w:ascii="Arial" w:hAnsi="Arial" w:cs="Arial"/>
          <w:i/>
          <w:iCs/>
          <w:sz w:val="20"/>
        </w:rPr>
        <w:t xml:space="preserve">VI – dispor sobre a organização e o funcionamento da administração municipal na forma da lei; </w:t>
      </w:r>
    </w:p>
    <w:p w:rsidR="00A95A5F" w:rsidRPr="00490DFF" w:rsidRDefault="00A95A5F" w:rsidP="00A95A5F">
      <w:pPr>
        <w:spacing w:line="240" w:lineRule="auto"/>
        <w:ind w:left="1701"/>
        <w:jc w:val="both"/>
        <w:rPr>
          <w:rFonts w:ascii="Arial" w:hAnsi="Arial" w:cs="Arial"/>
          <w:sz w:val="20"/>
        </w:rPr>
      </w:pPr>
      <w:r w:rsidRPr="00490DFF">
        <w:rPr>
          <w:rFonts w:ascii="Arial" w:hAnsi="Arial" w:cs="Arial"/>
          <w:i/>
          <w:iCs/>
          <w:sz w:val="20"/>
        </w:rPr>
        <w:t xml:space="preserve">(...) </w:t>
      </w:r>
    </w:p>
    <w:p w:rsidR="00A95A5F" w:rsidRPr="00490DFF" w:rsidRDefault="00A95A5F" w:rsidP="00A95A5F">
      <w:pPr>
        <w:spacing w:line="240" w:lineRule="auto"/>
        <w:ind w:left="1701"/>
        <w:jc w:val="both"/>
        <w:rPr>
          <w:rFonts w:ascii="Arial" w:hAnsi="Arial" w:cs="Arial"/>
          <w:sz w:val="20"/>
        </w:rPr>
      </w:pPr>
      <w:r w:rsidRPr="00490DFF">
        <w:rPr>
          <w:rFonts w:ascii="Arial" w:hAnsi="Arial" w:cs="Arial"/>
          <w:i/>
          <w:iCs/>
          <w:sz w:val="20"/>
        </w:rPr>
        <w:t xml:space="preserve">X – planejar e promover a execução dos serviços públicos municipais; </w:t>
      </w:r>
    </w:p>
    <w:p w:rsidR="00A95A5F" w:rsidRPr="00490DFF" w:rsidRDefault="00A95A5F" w:rsidP="00A95A5F">
      <w:pPr>
        <w:spacing w:line="240" w:lineRule="auto"/>
        <w:ind w:left="1701"/>
        <w:jc w:val="both"/>
        <w:rPr>
          <w:rFonts w:ascii="Arial" w:hAnsi="Arial" w:cs="Arial"/>
          <w:sz w:val="20"/>
        </w:rPr>
      </w:pPr>
      <w:r w:rsidRPr="00490DFF">
        <w:rPr>
          <w:rFonts w:ascii="Arial" w:hAnsi="Arial" w:cs="Arial"/>
          <w:i/>
          <w:iCs/>
          <w:sz w:val="20"/>
        </w:rPr>
        <w:t xml:space="preserve">(...) </w:t>
      </w:r>
    </w:p>
    <w:p w:rsidR="00A95A5F" w:rsidRPr="00490DFF" w:rsidRDefault="00A95A5F" w:rsidP="00A95A5F">
      <w:pPr>
        <w:spacing w:line="240" w:lineRule="auto"/>
        <w:ind w:left="1701"/>
        <w:jc w:val="both"/>
        <w:rPr>
          <w:rFonts w:ascii="Arial" w:hAnsi="Arial" w:cs="Arial"/>
          <w:sz w:val="20"/>
        </w:rPr>
      </w:pPr>
      <w:r w:rsidRPr="00490DFF">
        <w:rPr>
          <w:rFonts w:ascii="Arial" w:hAnsi="Arial" w:cs="Arial"/>
          <w:i/>
          <w:iCs/>
          <w:sz w:val="20"/>
        </w:rPr>
        <w:t>XXI – administrar os bens e as rendas municipais, promover o lançamento, a fiscalização e a arrecadação de tributos;</w:t>
      </w:r>
    </w:p>
    <w:bookmarkEnd w:id="0"/>
    <w:p w:rsidR="006C4A65" w:rsidRPr="000514EB" w:rsidRDefault="006C4A65" w:rsidP="006C4A65">
      <w:pPr>
        <w:spacing w:line="240" w:lineRule="auto"/>
        <w:ind w:firstLine="1701"/>
        <w:jc w:val="both"/>
        <w:rPr>
          <w:rFonts w:ascii="Arial" w:hAnsi="Arial" w:cs="Arial"/>
        </w:rPr>
      </w:pPr>
      <w:r w:rsidRPr="000514EB">
        <w:rPr>
          <w:rFonts w:ascii="Arial" w:hAnsi="Arial" w:cs="Arial"/>
        </w:rPr>
        <w:t xml:space="preserve">Desta forma, o presente PL encontra-se em conformidade com as normas legais vigentes, por ser de competência do Poder Executivo regulamentação sobre matéria afeta </w:t>
      </w:r>
      <w:proofErr w:type="gramStart"/>
      <w:r w:rsidRPr="000514EB">
        <w:rPr>
          <w:rFonts w:ascii="Arial" w:hAnsi="Arial" w:cs="Arial"/>
        </w:rPr>
        <w:t>à</w:t>
      </w:r>
      <w:proofErr w:type="gramEnd"/>
      <w:r w:rsidRPr="000514EB">
        <w:rPr>
          <w:rFonts w:ascii="Arial" w:hAnsi="Arial" w:cs="Arial"/>
        </w:rPr>
        <w:t xml:space="preserve"> tributos municipais, </w:t>
      </w:r>
      <w:r w:rsidRPr="000514EB">
        <w:rPr>
          <w:rFonts w:ascii="Arial" w:hAnsi="Arial" w:cs="Arial"/>
          <w:b/>
        </w:rPr>
        <w:t xml:space="preserve">NÃO </w:t>
      </w:r>
      <w:r w:rsidRPr="000514EB">
        <w:rPr>
          <w:rFonts w:ascii="Arial" w:hAnsi="Arial" w:cs="Arial"/>
        </w:rPr>
        <w:t xml:space="preserve">se registrando, desta forma, qualquer vício de origem na presente propositura, com base nos termos já referidos. </w:t>
      </w:r>
    </w:p>
    <w:p w:rsidR="00487662" w:rsidRPr="000514EB" w:rsidRDefault="00487662" w:rsidP="00C40245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u w:val="single"/>
        </w:rPr>
      </w:pPr>
      <w:r w:rsidRPr="000514EB">
        <w:rPr>
          <w:rFonts w:ascii="Arial" w:eastAsia="Calibri" w:hAnsi="Arial" w:cs="Arial"/>
        </w:rPr>
        <w:t xml:space="preserve">Em relação à </w:t>
      </w:r>
      <w:r w:rsidRPr="000514EB">
        <w:rPr>
          <w:rFonts w:ascii="Arial" w:eastAsia="Calibri" w:hAnsi="Arial" w:cs="Arial"/>
          <w:b/>
          <w:u w:val="single"/>
        </w:rPr>
        <w:t>técnica legislativa</w:t>
      </w:r>
    </w:p>
    <w:p w:rsidR="00900575" w:rsidRPr="000514EB" w:rsidRDefault="00900575" w:rsidP="00900575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Para que o processo legislativo possa ter a qualidade exigida pelos cidadãos, necessário que seja tecnicamente adequado. A Constituição Federal previu em seu artigo 59, parágrafo único, que disporá sobre a elaboração, redação, alteração e consolidação das leis, normatizado através da Lei Complementar nº 95/1998. </w:t>
      </w:r>
    </w:p>
    <w:p w:rsidR="00900575" w:rsidRPr="000514EB" w:rsidRDefault="00900575" w:rsidP="00900575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No caso pontual, observamos que o PL ora em análise possui a epígrafe, a ementa, o objeto da lei e o respectivo âmbito de aplicação, e está distribuída em artigos e parágrafos. </w:t>
      </w:r>
    </w:p>
    <w:p w:rsidR="00900575" w:rsidRPr="000514EB" w:rsidRDefault="00900575" w:rsidP="00900575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Entretanto, observamos que o PL cria os artigos sequenciais “123-L, 123-M, 123-N e 123-O”, enquanto o último artigo criado é o 123-H. desta forma, pela técnica, deveria </w:t>
      </w:r>
      <w:r w:rsidRPr="000514EB">
        <w:rPr>
          <w:rFonts w:ascii="Arial" w:eastAsia="Calibri" w:hAnsi="Arial" w:cs="Arial"/>
          <w:b/>
          <w:bCs/>
        </w:rPr>
        <w:t>iniciar no art. 123-I e seguintes</w:t>
      </w:r>
      <w:r w:rsidRPr="000514EB">
        <w:rPr>
          <w:rFonts w:ascii="Arial" w:eastAsia="Calibri" w:hAnsi="Arial" w:cs="Arial"/>
        </w:rPr>
        <w:t xml:space="preserve">, o que sugerimos ajustar na redação final. </w:t>
      </w:r>
    </w:p>
    <w:p w:rsidR="00900575" w:rsidRPr="000514EB" w:rsidRDefault="00900575" w:rsidP="00900575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>Em relação ao prazo de vigência, a forma citada no PL não é a mais adequada. Sugerimos que na redação final seja ajustado para “</w:t>
      </w:r>
      <w:r w:rsidRPr="000514EB">
        <w:rPr>
          <w:rFonts w:ascii="Arial" w:eastAsia="Calibri" w:hAnsi="Arial" w:cs="Arial"/>
          <w:b/>
          <w:bCs/>
        </w:rPr>
        <w:t>Esta lei entra em vigor 90(noventa) dias após a sua publicação</w:t>
      </w:r>
      <w:r w:rsidRPr="000514EB">
        <w:rPr>
          <w:rFonts w:ascii="Arial" w:eastAsia="Calibri" w:hAnsi="Arial" w:cs="Arial"/>
        </w:rPr>
        <w:t xml:space="preserve">”, em razão da </w:t>
      </w:r>
      <w:proofErr w:type="spellStart"/>
      <w:r w:rsidRPr="000514EB">
        <w:rPr>
          <w:rFonts w:ascii="Arial" w:eastAsia="Calibri" w:hAnsi="Arial" w:cs="Arial"/>
        </w:rPr>
        <w:t>noventena</w:t>
      </w:r>
      <w:proofErr w:type="spellEnd"/>
      <w:r w:rsidRPr="000514EB">
        <w:rPr>
          <w:rFonts w:ascii="Arial" w:eastAsia="Calibri" w:hAnsi="Arial" w:cs="Arial"/>
        </w:rPr>
        <w:t xml:space="preserve">, por se tratar de matéria tributária, com criação de tributos. </w:t>
      </w:r>
    </w:p>
    <w:p w:rsidR="00487662" w:rsidRPr="000514EB" w:rsidRDefault="00487662" w:rsidP="00900575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0514EB">
        <w:rPr>
          <w:rFonts w:ascii="Arial" w:eastAsia="Calibri" w:hAnsi="Arial" w:cs="Arial"/>
          <w:b/>
        </w:rPr>
        <w:t>Conclusão do Voto:</w:t>
      </w:r>
    </w:p>
    <w:p w:rsidR="007763CB" w:rsidRPr="000514EB" w:rsidRDefault="00487662" w:rsidP="009E35BC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b/>
        </w:rPr>
      </w:pPr>
      <w:r w:rsidRPr="000514EB">
        <w:rPr>
          <w:rFonts w:ascii="Arial" w:eastAsia="Calibri" w:hAnsi="Arial" w:cs="Arial"/>
        </w:rPr>
        <w:tab/>
        <w:t xml:space="preserve">Diante dos fundamentos legais e constitucionais expostos, com fundamento no parecer jurídico da Procuradora Geral desta Casa, esta Relatoria, depois de debate realizado na Comissão, disponibiliza o presente voto concluindo </w:t>
      </w:r>
      <w:r w:rsidR="006272BC" w:rsidRPr="000514EB">
        <w:rPr>
          <w:rFonts w:ascii="Arial" w:eastAsia="Calibri" w:hAnsi="Arial" w:cs="Arial"/>
        </w:rPr>
        <w:t xml:space="preserve">que o PL </w:t>
      </w:r>
      <w:r w:rsidR="008B0C42" w:rsidRPr="000514EB">
        <w:rPr>
          <w:rFonts w:ascii="Arial" w:eastAsia="Calibri" w:hAnsi="Arial" w:cs="Arial"/>
        </w:rPr>
        <w:t>7</w:t>
      </w:r>
      <w:r w:rsidR="00900575" w:rsidRPr="000514EB">
        <w:rPr>
          <w:rFonts w:ascii="Arial" w:eastAsia="Calibri" w:hAnsi="Arial" w:cs="Arial"/>
        </w:rPr>
        <w:t>0</w:t>
      </w:r>
      <w:r w:rsidR="006272BC" w:rsidRPr="000514EB">
        <w:rPr>
          <w:rFonts w:ascii="Arial" w:eastAsia="Calibri" w:hAnsi="Arial" w:cs="Arial"/>
        </w:rPr>
        <w:t xml:space="preserve">/2017 atende as normas legais impostas, </w:t>
      </w:r>
      <w:r w:rsidR="00E46210" w:rsidRPr="000514EB">
        <w:rPr>
          <w:rFonts w:ascii="Arial" w:eastAsia="Calibri" w:hAnsi="Arial" w:cs="Arial"/>
          <w:b/>
        </w:rPr>
        <w:t>sendo viável a sua tramitação</w:t>
      </w:r>
      <w:r w:rsidR="00671E97" w:rsidRPr="000514EB">
        <w:rPr>
          <w:rFonts w:ascii="Arial" w:eastAsia="Calibri" w:hAnsi="Arial" w:cs="Arial"/>
          <w:b/>
        </w:rPr>
        <w:t>.</w:t>
      </w:r>
    </w:p>
    <w:p w:rsidR="00487662" w:rsidRPr="000514EB" w:rsidRDefault="006272BC" w:rsidP="009E35BC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ab/>
      </w:r>
      <w:r w:rsidR="00487662" w:rsidRPr="000514EB">
        <w:rPr>
          <w:rFonts w:ascii="Arial" w:eastAsia="Calibri" w:hAnsi="Arial" w:cs="Arial"/>
        </w:rPr>
        <w:t xml:space="preserve">Sala das Comissões, em </w:t>
      </w:r>
      <w:r w:rsidR="00C518D5" w:rsidRPr="000514EB">
        <w:rPr>
          <w:rFonts w:ascii="Arial" w:eastAsia="Calibri" w:hAnsi="Arial" w:cs="Arial"/>
        </w:rPr>
        <w:t>1</w:t>
      </w:r>
      <w:r w:rsidR="00900575" w:rsidRPr="000514EB">
        <w:rPr>
          <w:rFonts w:ascii="Arial" w:eastAsia="Calibri" w:hAnsi="Arial" w:cs="Arial"/>
        </w:rPr>
        <w:t>9</w:t>
      </w:r>
      <w:r w:rsidR="00487662" w:rsidRPr="000514EB">
        <w:rPr>
          <w:rFonts w:ascii="Arial" w:eastAsia="Calibri" w:hAnsi="Arial" w:cs="Arial"/>
        </w:rPr>
        <w:t xml:space="preserve"> de </w:t>
      </w:r>
      <w:r w:rsidR="002E5DCE" w:rsidRPr="000514EB">
        <w:rPr>
          <w:rFonts w:ascii="Arial" w:eastAsia="Calibri" w:hAnsi="Arial" w:cs="Arial"/>
        </w:rPr>
        <w:t>dez</w:t>
      </w:r>
      <w:r w:rsidR="00487662" w:rsidRPr="000514EB">
        <w:rPr>
          <w:rFonts w:ascii="Arial" w:eastAsia="Calibri" w:hAnsi="Arial" w:cs="Arial"/>
        </w:rPr>
        <w:t>embro de 2017.</w:t>
      </w:r>
    </w:p>
    <w:p w:rsidR="00DB6013" w:rsidRPr="000514EB" w:rsidRDefault="00DB6013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487662" w:rsidRPr="000514EB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lastRenderedPageBreak/>
        <w:t>Vereadora Relatora</w:t>
      </w:r>
    </w:p>
    <w:p w:rsidR="00487662" w:rsidRPr="000514EB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Manu </w:t>
      </w:r>
      <w:proofErr w:type="spellStart"/>
      <w:r w:rsidRPr="000514EB">
        <w:rPr>
          <w:rFonts w:ascii="Arial" w:eastAsia="Calibri" w:hAnsi="Arial" w:cs="Arial"/>
        </w:rPr>
        <w:t>Caliari</w:t>
      </w:r>
      <w:proofErr w:type="spellEnd"/>
    </w:p>
    <w:p w:rsidR="00487662" w:rsidRPr="000514EB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>Acompanhando o voto da relatora:</w:t>
      </w:r>
    </w:p>
    <w:p w:rsidR="00487662" w:rsidRPr="000514EB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487662" w:rsidRPr="000514EB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>Vereador Presidente</w:t>
      </w:r>
    </w:p>
    <w:p w:rsidR="00487662" w:rsidRPr="000514EB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 xml:space="preserve">Rafael </w:t>
      </w:r>
      <w:proofErr w:type="spellStart"/>
      <w:r w:rsidRPr="000514EB">
        <w:rPr>
          <w:rFonts w:ascii="Arial" w:eastAsia="Calibri" w:hAnsi="Arial" w:cs="Arial"/>
        </w:rPr>
        <w:t>Ronsoni</w:t>
      </w:r>
      <w:proofErr w:type="spellEnd"/>
    </w:p>
    <w:p w:rsidR="00487662" w:rsidRPr="000514EB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487662" w:rsidRPr="000514EB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0514EB">
        <w:rPr>
          <w:rFonts w:ascii="Arial" w:eastAsia="Calibri" w:hAnsi="Arial" w:cs="Arial"/>
        </w:rPr>
        <w:t>Vereador Vice-Presidente</w:t>
      </w:r>
    </w:p>
    <w:p w:rsidR="00F60212" w:rsidRPr="000514EB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hAnsi="Arial" w:cs="Arial"/>
        </w:rPr>
      </w:pPr>
      <w:r w:rsidRPr="000514EB">
        <w:rPr>
          <w:rFonts w:ascii="Arial" w:eastAsia="Calibri" w:hAnsi="Arial" w:cs="Arial"/>
        </w:rPr>
        <w:t xml:space="preserve">Everton </w:t>
      </w:r>
      <w:proofErr w:type="spellStart"/>
      <w:r w:rsidRPr="000514EB">
        <w:rPr>
          <w:rFonts w:ascii="Arial" w:eastAsia="Calibri" w:hAnsi="Arial" w:cs="Arial"/>
        </w:rPr>
        <w:t>Michaelsen</w:t>
      </w:r>
      <w:proofErr w:type="spellEnd"/>
    </w:p>
    <w:sectPr w:rsidR="00F60212" w:rsidRPr="000514EB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C8D" w:rsidRDefault="003C2C8D" w:rsidP="00B17B53">
      <w:pPr>
        <w:spacing w:after="0" w:line="240" w:lineRule="auto"/>
      </w:pPr>
      <w:r>
        <w:separator/>
      </w:r>
    </w:p>
  </w:endnote>
  <w:endnote w:type="continuationSeparator" w:id="0">
    <w:p w:rsidR="003C2C8D" w:rsidRDefault="003C2C8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8D" w:rsidRDefault="003C2C8D" w:rsidP="0067136B">
    <w:pPr>
      <w:pStyle w:val="Rodap"/>
      <w:jc w:val="center"/>
      <w:rPr>
        <w:i/>
        <w:color w:val="1F3864" w:themeColor="accent1" w:themeShade="80"/>
      </w:rPr>
    </w:pPr>
  </w:p>
  <w:p w:rsidR="003C2C8D" w:rsidRPr="0067136B" w:rsidRDefault="003C2C8D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3C2C8D" w:rsidRPr="0067136B" w:rsidRDefault="003C2C8D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3C2C8D" w:rsidRDefault="003C2C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C8D" w:rsidRDefault="003C2C8D" w:rsidP="00B17B53">
      <w:pPr>
        <w:spacing w:after="0" w:line="240" w:lineRule="auto"/>
      </w:pPr>
      <w:r>
        <w:separator/>
      </w:r>
    </w:p>
  </w:footnote>
  <w:footnote w:type="continuationSeparator" w:id="0">
    <w:p w:rsidR="003C2C8D" w:rsidRDefault="003C2C8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8D" w:rsidRDefault="003C2C8D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2C8D" w:rsidRDefault="003C2C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725E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100977"/>
    <w:rsid w:val="001074F4"/>
    <w:rsid w:val="00115289"/>
    <w:rsid w:val="00134023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21429D"/>
    <w:rsid w:val="002201ED"/>
    <w:rsid w:val="00235B63"/>
    <w:rsid w:val="00240183"/>
    <w:rsid w:val="00265AA6"/>
    <w:rsid w:val="00271DF1"/>
    <w:rsid w:val="002A1785"/>
    <w:rsid w:val="002C01A4"/>
    <w:rsid w:val="002C4E64"/>
    <w:rsid w:val="002E5DCE"/>
    <w:rsid w:val="00304269"/>
    <w:rsid w:val="00315B62"/>
    <w:rsid w:val="00321B5E"/>
    <w:rsid w:val="003310D1"/>
    <w:rsid w:val="00340388"/>
    <w:rsid w:val="00347737"/>
    <w:rsid w:val="00354D85"/>
    <w:rsid w:val="00356634"/>
    <w:rsid w:val="00356AA3"/>
    <w:rsid w:val="00364DB0"/>
    <w:rsid w:val="0037028D"/>
    <w:rsid w:val="00375DA8"/>
    <w:rsid w:val="0039375A"/>
    <w:rsid w:val="003A4237"/>
    <w:rsid w:val="003B58E3"/>
    <w:rsid w:val="003B7E58"/>
    <w:rsid w:val="003C2160"/>
    <w:rsid w:val="003C2C8D"/>
    <w:rsid w:val="003D2C56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E0DD3"/>
    <w:rsid w:val="004F0611"/>
    <w:rsid w:val="004F60CE"/>
    <w:rsid w:val="005004AC"/>
    <w:rsid w:val="00516FBB"/>
    <w:rsid w:val="00524086"/>
    <w:rsid w:val="005268BE"/>
    <w:rsid w:val="0053678C"/>
    <w:rsid w:val="005571F7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7136B"/>
    <w:rsid w:val="00671E97"/>
    <w:rsid w:val="00691649"/>
    <w:rsid w:val="00693C31"/>
    <w:rsid w:val="006B43A6"/>
    <w:rsid w:val="006C4A65"/>
    <w:rsid w:val="006D418B"/>
    <w:rsid w:val="006E2BE0"/>
    <w:rsid w:val="006F502F"/>
    <w:rsid w:val="006F6387"/>
    <w:rsid w:val="006F7C9C"/>
    <w:rsid w:val="007074CF"/>
    <w:rsid w:val="00726B36"/>
    <w:rsid w:val="00731790"/>
    <w:rsid w:val="0074519A"/>
    <w:rsid w:val="007508CA"/>
    <w:rsid w:val="007549D0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750C"/>
    <w:rsid w:val="008B0C42"/>
    <w:rsid w:val="008B4469"/>
    <w:rsid w:val="008C01C7"/>
    <w:rsid w:val="008C22A6"/>
    <w:rsid w:val="008D2E64"/>
    <w:rsid w:val="008D4652"/>
    <w:rsid w:val="008D671D"/>
    <w:rsid w:val="008E31B9"/>
    <w:rsid w:val="008F32DC"/>
    <w:rsid w:val="008F7957"/>
    <w:rsid w:val="00900575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70B89"/>
    <w:rsid w:val="00A80EC9"/>
    <w:rsid w:val="00A84864"/>
    <w:rsid w:val="00A95A5F"/>
    <w:rsid w:val="00AA0455"/>
    <w:rsid w:val="00AB1EB9"/>
    <w:rsid w:val="00AC1EE0"/>
    <w:rsid w:val="00AC2722"/>
    <w:rsid w:val="00AC6AB3"/>
    <w:rsid w:val="00AD1C96"/>
    <w:rsid w:val="00AE58BC"/>
    <w:rsid w:val="00AF5697"/>
    <w:rsid w:val="00AF7B41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77655"/>
    <w:rsid w:val="00BA1344"/>
    <w:rsid w:val="00BC1E6D"/>
    <w:rsid w:val="00BD091F"/>
    <w:rsid w:val="00BD1FFF"/>
    <w:rsid w:val="00BE3002"/>
    <w:rsid w:val="00BE6C2F"/>
    <w:rsid w:val="00C00AD3"/>
    <w:rsid w:val="00C0418C"/>
    <w:rsid w:val="00C20D7C"/>
    <w:rsid w:val="00C30AA1"/>
    <w:rsid w:val="00C35380"/>
    <w:rsid w:val="00C372E3"/>
    <w:rsid w:val="00C40245"/>
    <w:rsid w:val="00C4317B"/>
    <w:rsid w:val="00C518D5"/>
    <w:rsid w:val="00C63CD1"/>
    <w:rsid w:val="00C64428"/>
    <w:rsid w:val="00C701B0"/>
    <w:rsid w:val="00C70447"/>
    <w:rsid w:val="00C709DF"/>
    <w:rsid w:val="00C74362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D03E02"/>
    <w:rsid w:val="00D21214"/>
    <w:rsid w:val="00D242B5"/>
    <w:rsid w:val="00D33E26"/>
    <w:rsid w:val="00D41EB7"/>
    <w:rsid w:val="00D557EC"/>
    <w:rsid w:val="00D55A68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6635"/>
    <w:rsid w:val="00E37388"/>
    <w:rsid w:val="00E46210"/>
    <w:rsid w:val="00E53DAA"/>
    <w:rsid w:val="00E55917"/>
    <w:rsid w:val="00E623AB"/>
    <w:rsid w:val="00E9296F"/>
    <w:rsid w:val="00E9343F"/>
    <w:rsid w:val="00E939C7"/>
    <w:rsid w:val="00E97F24"/>
    <w:rsid w:val="00EA6C3E"/>
    <w:rsid w:val="00EB1C01"/>
    <w:rsid w:val="00EB6FAF"/>
    <w:rsid w:val="00EC080F"/>
    <w:rsid w:val="00EC55CA"/>
    <w:rsid w:val="00EE415C"/>
    <w:rsid w:val="00EF7806"/>
    <w:rsid w:val="00F1073F"/>
    <w:rsid w:val="00F2289D"/>
    <w:rsid w:val="00F438A0"/>
    <w:rsid w:val="00F46809"/>
    <w:rsid w:val="00F46A58"/>
    <w:rsid w:val="00F527C6"/>
    <w:rsid w:val="00F56A49"/>
    <w:rsid w:val="00F60212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8068F-1F6A-425C-AC20-1CC6B443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2024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</cp:lastModifiedBy>
  <cp:revision>10</cp:revision>
  <cp:lastPrinted>2017-12-20T10:36:00Z</cp:lastPrinted>
  <dcterms:created xsi:type="dcterms:W3CDTF">2017-12-19T19:30:00Z</dcterms:created>
  <dcterms:modified xsi:type="dcterms:W3CDTF">2017-12-20T10:37:00Z</dcterms:modified>
</cp:coreProperties>
</file>