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582E03">
        <w:rPr>
          <w:rFonts w:ascii="Arial" w:eastAsia="Calibri" w:hAnsi="Arial" w:cs="Arial"/>
          <w:b/>
        </w:rPr>
        <w:t xml:space="preserve">COMISSÃO DE CONSTITUIÇÃO, JUSTIÇA E </w:t>
      </w:r>
      <w:proofErr w:type="gramStart"/>
      <w:r w:rsidRPr="00582E03">
        <w:rPr>
          <w:rFonts w:ascii="Arial" w:eastAsia="Calibri" w:hAnsi="Arial" w:cs="Arial"/>
          <w:b/>
        </w:rPr>
        <w:t>REDAÇÃO</w:t>
      </w:r>
      <w:proofErr w:type="gramEnd"/>
    </w:p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</w:p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b/>
        </w:rPr>
        <w:t>Parecer:</w:t>
      </w:r>
      <w:r w:rsidR="004276A0" w:rsidRPr="00582E03">
        <w:rPr>
          <w:rFonts w:ascii="Arial" w:eastAsia="Calibri" w:hAnsi="Arial" w:cs="Arial"/>
        </w:rPr>
        <w:t xml:space="preserve"> </w:t>
      </w:r>
      <w:r w:rsidR="000117FE" w:rsidRPr="00582E03">
        <w:rPr>
          <w:rFonts w:ascii="Arial" w:eastAsia="Calibri" w:hAnsi="Arial" w:cs="Arial"/>
        </w:rPr>
        <w:t>1</w:t>
      </w:r>
      <w:r w:rsidR="00B201D6" w:rsidRPr="00582E03">
        <w:rPr>
          <w:rFonts w:ascii="Arial" w:eastAsia="Calibri" w:hAnsi="Arial" w:cs="Arial"/>
        </w:rPr>
        <w:t>2</w:t>
      </w:r>
      <w:r w:rsidR="00592F8A" w:rsidRPr="00582E03">
        <w:rPr>
          <w:rFonts w:ascii="Arial" w:eastAsia="Calibri" w:hAnsi="Arial" w:cs="Arial"/>
        </w:rPr>
        <w:t>5</w:t>
      </w:r>
      <w:r w:rsidR="006E2858" w:rsidRPr="00582E03">
        <w:rPr>
          <w:rFonts w:ascii="Arial" w:eastAsia="Calibri" w:hAnsi="Arial" w:cs="Arial"/>
        </w:rPr>
        <w:t>/</w:t>
      </w:r>
      <w:r w:rsidRPr="00582E03">
        <w:rPr>
          <w:rFonts w:ascii="Arial" w:eastAsia="Calibri" w:hAnsi="Arial" w:cs="Arial"/>
        </w:rPr>
        <w:t>2017</w:t>
      </w:r>
    </w:p>
    <w:p w:rsidR="00F05D17" w:rsidRPr="00582E03" w:rsidRDefault="00F05D17" w:rsidP="006917A5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b/>
        </w:rPr>
        <w:t>Data:</w:t>
      </w:r>
      <w:r w:rsidRPr="00582E03">
        <w:rPr>
          <w:rFonts w:ascii="Arial" w:eastAsia="Calibri" w:hAnsi="Arial" w:cs="Arial"/>
        </w:rPr>
        <w:t xml:space="preserve"> </w:t>
      </w:r>
      <w:r w:rsidR="00592F8A" w:rsidRPr="00582E03">
        <w:rPr>
          <w:rFonts w:ascii="Arial" w:eastAsia="Calibri" w:hAnsi="Arial" w:cs="Arial"/>
        </w:rPr>
        <w:t>06</w:t>
      </w:r>
      <w:r w:rsidR="00ED318A" w:rsidRPr="00582E03">
        <w:rPr>
          <w:rFonts w:ascii="Arial" w:eastAsia="Calibri" w:hAnsi="Arial" w:cs="Arial"/>
        </w:rPr>
        <w:t xml:space="preserve"> </w:t>
      </w:r>
      <w:r w:rsidRPr="00582E03">
        <w:rPr>
          <w:rFonts w:ascii="Arial" w:eastAsia="Calibri" w:hAnsi="Arial" w:cs="Arial"/>
        </w:rPr>
        <w:t xml:space="preserve">de </w:t>
      </w:r>
      <w:r w:rsidR="00592F8A" w:rsidRPr="00582E03">
        <w:rPr>
          <w:rFonts w:ascii="Arial" w:eastAsia="Calibri" w:hAnsi="Arial" w:cs="Arial"/>
        </w:rPr>
        <w:t>novem</w:t>
      </w:r>
      <w:r w:rsidR="00B802D9" w:rsidRPr="00582E03">
        <w:rPr>
          <w:rFonts w:ascii="Arial" w:eastAsia="Calibri" w:hAnsi="Arial" w:cs="Arial"/>
        </w:rPr>
        <w:t>bro</w:t>
      </w:r>
      <w:r w:rsidR="004276A0" w:rsidRPr="00582E03">
        <w:rPr>
          <w:rFonts w:ascii="Arial" w:eastAsia="Calibri" w:hAnsi="Arial" w:cs="Arial"/>
        </w:rPr>
        <w:t xml:space="preserve"> </w:t>
      </w:r>
      <w:r w:rsidRPr="00582E03">
        <w:rPr>
          <w:rFonts w:ascii="Arial" w:eastAsia="Calibri" w:hAnsi="Arial" w:cs="Arial"/>
        </w:rPr>
        <w:t>de 2017</w:t>
      </w:r>
    </w:p>
    <w:p w:rsidR="002767B2" w:rsidRPr="00582E03" w:rsidRDefault="00F05D17" w:rsidP="006917A5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b/>
        </w:rPr>
        <w:t>Matéria:</w:t>
      </w:r>
      <w:r w:rsidRPr="00582E03">
        <w:rPr>
          <w:rFonts w:ascii="Arial" w:eastAsia="Calibri" w:hAnsi="Arial" w:cs="Arial"/>
        </w:rPr>
        <w:t xml:space="preserve"> </w:t>
      </w:r>
      <w:r w:rsidR="004276A0" w:rsidRPr="00582E03">
        <w:rPr>
          <w:rFonts w:ascii="Arial" w:eastAsia="Calibri" w:hAnsi="Arial" w:cs="Arial"/>
        </w:rPr>
        <w:t xml:space="preserve">Projeto de Lei </w:t>
      </w:r>
      <w:r w:rsidR="00ED318A" w:rsidRPr="00582E03">
        <w:rPr>
          <w:rFonts w:ascii="Arial" w:eastAsia="Calibri" w:hAnsi="Arial" w:cs="Arial"/>
        </w:rPr>
        <w:t>nº 0</w:t>
      </w:r>
      <w:r w:rsidR="008303A5" w:rsidRPr="00582E03">
        <w:rPr>
          <w:rFonts w:ascii="Arial" w:eastAsia="Calibri" w:hAnsi="Arial" w:cs="Arial"/>
        </w:rPr>
        <w:t>4</w:t>
      </w:r>
      <w:r w:rsidR="00592F8A" w:rsidRPr="00582E03">
        <w:rPr>
          <w:rFonts w:ascii="Arial" w:eastAsia="Calibri" w:hAnsi="Arial" w:cs="Arial"/>
        </w:rPr>
        <w:t>7</w:t>
      </w:r>
      <w:r w:rsidR="004276A0" w:rsidRPr="00582E03">
        <w:rPr>
          <w:rFonts w:ascii="Arial" w:eastAsia="Calibri" w:hAnsi="Arial" w:cs="Arial"/>
        </w:rPr>
        <w:t>/2017</w:t>
      </w:r>
      <w:r w:rsidR="00B8049D" w:rsidRPr="00582E03">
        <w:rPr>
          <w:rFonts w:ascii="Arial" w:eastAsia="Calibri" w:hAnsi="Arial" w:cs="Arial"/>
        </w:rPr>
        <w:t xml:space="preserve"> </w:t>
      </w:r>
    </w:p>
    <w:p w:rsidR="00F05D17" w:rsidRPr="00582E03" w:rsidRDefault="00F05D17" w:rsidP="006917A5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b/>
        </w:rPr>
        <w:t>Autor:</w:t>
      </w:r>
      <w:r w:rsidRPr="00582E03">
        <w:rPr>
          <w:rFonts w:ascii="Arial" w:eastAsia="Calibri" w:hAnsi="Arial" w:cs="Arial"/>
        </w:rPr>
        <w:t xml:space="preserve"> </w:t>
      </w:r>
      <w:r w:rsidR="00F0413A" w:rsidRPr="00582E03">
        <w:rPr>
          <w:rFonts w:ascii="Arial" w:eastAsia="Calibri" w:hAnsi="Arial" w:cs="Arial"/>
        </w:rPr>
        <w:t>Poder Executivo</w:t>
      </w:r>
    </w:p>
    <w:p w:rsidR="00F05D17" w:rsidRPr="00582E03" w:rsidRDefault="00F05D17" w:rsidP="006917A5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b/>
        </w:rPr>
        <w:t>Relator:</w:t>
      </w:r>
      <w:r w:rsidRPr="00582E03">
        <w:rPr>
          <w:rFonts w:ascii="Arial" w:eastAsia="Calibri" w:hAnsi="Arial" w:cs="Arial"/>
        </w:rPr>
        <w:t xml:space="preserve"> </w:t>
      </w:r>
      <w:r w:rsidR="004276A0" w:rsidRPr="00582E03">
        <w:rPr>
          <w:rFonts w:ascii="Arial" w:eastAsia="Calibri" w:hAnsi="Arial" w:cs="Arial"/>
        </w:rPr>
        <w:t>Ver. Manu Calliari</w:t>
      </w:r>
      <w:r w:rsidRPr="00582E03">
        <w:rPr>
          <w:rFonts w:ascii="Arial" w:eastAsia="Calibri" w:hAnsi="Arial" w:cs="Arial"/>
        </w:rPr>
        <w:tab/>
      </w:r>
      <w:r w:rsidR="00065D9B" w:rsidRPr="00582E03">
        <w:rPr>
          <w:rFonts w:ascii="Arial" w:eastAsia="Calibri" w:hAnsi="Arial" w:cs="Arial"/>
        </w:rPr>
        <w:tab/>
      </w:r>
      <w:r w:rsidR="00065D9B" w:rsidRPr="00582E03">
        <w:rPr>
          <w:rFonts w:ascii="Arial" w:eastAsia="Calibri" w:hAnsi="Arial" w:cs="Arial"/>
        </w:rPr>
        <w:tab/>
      </w:r>
      <w:r w:rsidRPr="00582E03">
        <w:rPr>
          <w:rFonts w:ascii="Arial" w:eastAsia="Calibri" w:hAnsi="Arial" w:cs="Arial"/>
          <w:b/>
        </w:rPr>
        <w:t>Conclusão do Voto:</w:t>
      </w:r>
      <w:r w:rsidRPr="00582E03">
        <w:rPr>
          <w:rFonts w:ascii="Arial" w:eastAsia="Calibri" w:hAnsi="Arial" w:cs="Arial"/>
        </w:rPr>
        <w:t xml:space="preserve"> Favorável </w:t>
      </w:r>
    </w:p>
    <w:p w:rsidR="002522A4" w:rsidRPr="00582E03" w:rsidRDefault="00F05D17" w:rsidP="00592F8A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</w:rPr>
      </w:pPr>
      <w:r w:rsidRPr="00582E03">
        <w:rPr>
          <w:rFonts w:ascii="Arial" w:eastAsia="Calibri" w:hAnsi="Arial" w:cs="Arial"/>
          <w:b/>
        </w:rPr>
        <w:t xml:space="preserve">Ementa: </w:t>
      </w:r>
      <w:r w:rsidR="002522A4" w:rsidRPr="00582E03">
        <w:rPr>
          <w:rFonts w:ascii="Arial" w:eastAsia="Calibri" w:hAnsi="Arial" w:cs="Arial"/>
        </w:rPr>
        <w:t>“</w:t>
      </w:r>
      <w:r w:rsidR="00592F8A" w:rsidRPr="00582E03">
        <w:rPr>
          <w:rFonts w:ascii="Arial" w:eastAsia="Calibri" w:hAnsi="Arial" w:cs="Arial"/>
        </w:rPr>
        <w:t>Autoriza o Município a receber equipamentos em doação</w:t>
      </w:r>
      <w:r w:rsidR="002522A4" w:rsidRPr="00582E03">
        <w:rPr>
          <w:rFonts w:ascii="Arial" w:eastAsia="Calibri" w:hAnsi="Arial" w:cs="Arial"/>
          <w:iCs/>
        </w:rPr>
        <w:t>”</w:t>
      </w:r>
      <w:r w:rsidR="00B201D6" w:rsidRPr="00582E03">
        <w:rPr>
          <w:rFonts w:ascii="Arial" w:eastAsia="Calibri" w:hAnsi="Arial" w:cs="Arial"/>
          <w:iCs/>
        </w:rPr>
        <w:t>.</w:t>
      </w:r>
    </w:p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</w:p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582E03">
        <w:rPr>
          <w:rFonts w:ascii="Arial" w:eastAsia="Calibri" w:hAnsi="Arial" w:cs="Arial"/>
          <w:b/>
        </w:rPr>
        <w:t>Relatório:</w:t>
      </w:r>
    </w:p>
    <w:p w:rsidR="00F05D17" w:rsidRPr="00582E03" w:rsidRDefault="00F05D17" w:rsidP="00592F8A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i/>
        </w:rPr>
      </w:pPr>
      <w:r w:rsidRPr="00582E03">
        <w:rPr>
          <w:rFonts w:ascii="Arial" w:eastAsia="Calibri" w:hAnsi="Arial" w:cs="Arial"/>
        </w:rPr>
        <w:tab/>
        <w:t>O Projeto de Lei em análise foi apresentado nesta Casa Legislativa no dia</w:t>
      </w:r>
      <w:r w:rsidR="00065D9B" w:rsidRPr="00582E03">
        <w:rPr>
          <w:rFonts w:ascii="Arial" w:eastAsia="Calibri" w:hAnsi="Arial" w:cs="Arial"/>
        </w:rPr>
        <w:t xml:space="preserve"> </w:t>
      </w:r>
      <w:r w:rsidR="00592F8A" w:rsidRPr="00582E03">
        <w:rPr>
          <w:rFonts w:ascii="Arial" w:eastAsia="Calibri" w:hAnsi="Arial" w:cs="Arial"/>
        </w:rPr>
        <w:t>30</w:t>
      </w:r>
      <w:r w:rsidR="008303A5" w:rsidRPr="00582E03">
        <w:rPr>
          <w:rFonts w:ascii="Arial" w:eastAsia="Calibri" w:hAnsi="Arial" w:cs="Arial"/>
        </w:rPr>
        <w:t xml:space="preserve"> </w:t>
      </w:r>
      <w:r w:rsidRPr="00582E03">
        <w:rPr>
          <w:rFonts w:ascii="Arial" w:eastAsia="Calibri" w:hAnsi="Arial" w:cs="Arial"/>
        </w:rPr>
        <w:t xml:space="preserve">de </w:t>
      </w:r>
      <w:r w:rsidR="008303A5" w:rsidRPr="00582E03">
        <w:rPr>
          <w:rFonts w:ascii="Arial" w:eastAsia="Calibri" w:hAnsi="Arial" w:cs="Arial"/>
        </w:rPr>
        <w:t>outubro</w:t>
      </w:r>
      <w:r w:rsidR="003F54BA" w:rsidRPr="00582E03">
        <w:rPr>
          <w:rFonts w:ascii="Arial" w:eastAsia="Calibri" w:hAnsi="Arial" w:cs="Arial"/>
        </w:rPr>
        <w:t xml:space="preserve"> de </w:t>
      </w:r>
      <w:r w:rsidRPr="00582E03">
        <w:rPr>
          <w:rFonts w:ascii="Arial" w:eastAsia="Calibri" w:hAnsi="Arial" w:cs="Arial"/>
        </w:rPr>
        <w:t>2017</w:t>
      </w:r>
      <w:r w:rsidR="00F54E1E" w:rsidRPr="00582E03">
        <w:rPr>
          <w:rFonts w:ascii="Arial" w:eastAsia="Calibri" w:hAnsi="Arial" w:cs="Arial"/>
        </w:rPr>
        <w:t>,</w:t>
      </w:r>
      <w:r w:rsidR="003F54BA" w:rsidRPr="00582E03">
        <w:rPr>
          <w:rFonts w:ascii="Arial" w:eastAsia="Calibri" w:hAnsi="Arial" w:cs="Arial"/>
        </w:rPr>
        <w:t xml:space="preserve"> </w:t>
      </w:r>
      <w:r w:rsidR="008303A5" w:rsidRPr="00582E03">
        <w:rPr>
          <w:rFonts w:ascii="Arial" w:eastAsia="Calibri" w:hAnsi="Arial" w:cs="Arial"/>
        </w:rPr>
        <w:t xml:space="preserve">busca autorização legislativa para </w:t>
      </w:r>
      <w:r w:rsidR="00592F8A" w:rsidRPr="00582E03">
        <w:rPr>
          <w:rFonts w:ascii="Arial" w:eastAsia="Calibri" w:hAnsi="Arial" w:cs="Arial"/>
        </w:rPr>
        <w:t>receber equipamentos em doação</w:t>
      </w:r>
      <w:r w:rsidR="008303A5" w:rsidRPr="00582E03">
        <w:rPr>
          <w:rFonts w:ascii="Arial" w:eastAsia="Calibri" w:hAnsi="Arial" w:cs="Arial"/>
        </w:rPr>
        <w:t>. Na justifica, aduz o Poder Executivo</w:t>
      </w:r>
      <w:r w:rsidR="00B201D6" w:rsidRPr="00582E03">
        <w:rPr>
          <w:rFonts w:ascii="Arial" w:eastAsia="Calibri" w:hAnsi="Arial" w:cs="Arial"/>
        </w:rPr>
        <w:t xml:space="preserve"> que </w:t>
      </w:r>
      <w:r w:rsidR="00592F8A" w:rsidRPr="00582E03">
        <w:rPr>
          <w:rFonts w:ascii="Arial" w:eastAsia="Calibri" w:hAnsi="Arial" w:cs="Arial"/>
        </w:rPr>
        <w:t xml:space="preserve">Administração Municipal objetiva receber em doação, </w:t>
      </w:r>
      <w:proofErr w:type="gramStart"/>
      <w:r w:rsidR="00592F8A" w:rsidRPr="00582E03">
        <w:rPr>
          <w:rFonts w:ascii="Arial" w:eastAsia="Calibri" w:hAnsi="Arial" w:cs="Arial"/>
        </w:rPr>
        <w:t>5</w:t>
      </w:r>
      <w:proofErr w:type="gramEnd"/>
      <w:r w:rsidR="00592F8A" w:rsidRPr="00582E03">
        <w:rPr>
          <w:rFonts w:ascii="Arial" w:eastAsia="Calibri" w:hAnsi="Arial" w:cs="Arial"/>
        </w:rPr>
        <w:t xml:space="preserve">(cinco) Câmaras digitais e 5(cinco) cartões de memória, doados por Entidades do Município, quais sejam; CDL – ABRASEL – SINDTUR – SINDILOJAS – VISÃO E CONVENTION. Informa, por conseguinte, que a iniciativa das Entidades é oriunda da comunhão de esforços do Poder Executivo, da Casa do Povo e da sociedade civil organizada, no sentido de dar mais condições ao Poder Público para fiscalização e combate à panfletagem e às abordagens indiscriminadas que ocorrem no município, de forma irregular, dando sustentação aos autos de infração emitidos pela fiscalização municipal. Acompanha ao PL ofício das referidas Entidades, dirigido à Secretaria Municipal de Planejamento, manifestando intenção de confirmar a doação, bem como a nota fiscal nº 001.839, de 20/10/2017, emitida pela </w:t>
      </w:r>
      <w:proofErr w:type="spellStart"/>
      <w:r w:rsidR="00592F8A" w:rsidRPr="00582E03">
        <w:rPr>
          <w:rFonts w:ascii="Arial" w:eastAsia="Calibri" w:hAnsi="Arial" w:cs="Arial"/>
        </w:rPr>
        <w:t>Multisom</w:t>
      </w:r>
      <w:proofErr w:type="spellEnd"/>
      <w:r w:rsidR="00592F8A" w:rsidRPr="00582E03">
        <w:rPr>
          <w:rFonts w:ascii="Arial" w:eastAsia="Calibri" w:hAnsi="Arial" w:cs="Arial"/>
        </w:rPr>
        <w:t xml:space="preserve">, relativa </w:t>
      </w:r>
      <w:proofErr w:type="gramStart"/>
      <w:r w:rsidR="00592F8A" w:rsidRPr="00582E03">
        <w:rPr>
          <w:rFonts w:ascii="Arial" w:eastAsia="Calibri" w:hAnsi="Arial" w:cs="Arial"/>
        </w:rPr>
        <w:t>a</w:t>
      </w:r>
      <w:proofErr w:type="gramEnd"/>
      <w:r w:rsidR="00592F8A" w:rsidRPr="00582E03">
        <w:rPr>
          <w:rFonts w:ascii="Arial" w:eastAsia="Calibri" w:hAnsi="Arial" w:cs="Arial"/>
        </w:rPr>
        <w:t xml:space="preserve"> aquisição dos produtos. </w:t>
      </w:r>
      <w:r w:rsidR="00DA5FBA" w:rsidRPr="00582E03">
        <w:rPr>
          <w:rFonts w:ascii="Arial" w:eastAsia="Calibri" w:hAnsi="Arial" w:cs="Arial"/>
        </w:rPr>
        <w:t>O projeto já foi analisado pela Procuradora Geral da Casa, a qual proferiu parecer jurídico</w:t>
      </w:r>
      <w:r w:rsidR="00EE753B" w:rsidRPr="00582E03">
        <w:rPr>
          <w:rFonts w:ascii="Arial" w:eastAsia="Calibri" w:hAnsi="Arial" w:cs="Arial"/>
        </w:rPr>
        <w:t xml:space="preserve"> nº </w:t>
      </w:r>
      <w:r w:rsidR="00592F8A" w:rsidRPr="00582E03">
        <w:rPr>
          <w:rFonts w:ascii="Arial" w:eastAsia="Calibri" w:hAnsi="Arial" w:cs="Arial"/>
        </w:rPr>
        <w:t>71</w:t>
      </w:r>
      <w:r w:rsidR="00EE753B" w:rsidRPr="00582E03">
        <w:rPr>
          <w:rFonts w:ascii="Arial" w:eastAsia="Calibri" w:hAnsi="Arial" w:cs="Arial"/>
        </w:rPr>
        <w:t>/2017</w:t>
      </w:r>
      <w:r w:rsidR="00DA5FBA" w:rsidRPr="00582E03">
        <w:rPr>
          <w:rFonts w:ascii="Arial" w:eastAsia="Calibri" w:hAnsi="Arial" w:cs="Arial"/>
        </w:rPr>
        <w:t xml:space="preserve"> favorável à tramitação</w:t>
      </w:r>
      <w:r w:rsidR="00B02586" w:rsidRPr="00582E03">
        <w:rPr>
          <w:rFonts w:ascii="Arial" w:eastAsia="Calibri" w:hAnsi="Arial" w:cs="Arial"/>
        </w:rPr>
        <w:t xml:space="preserve"> do Projeto de Lei</w:t>
      </w:r>
      <w:r w:rsidR="00CE58A8" w:rsidRPr="00582E03">
        <w:rPr>
          <w:rFonts w:ascii="Arial" w:eastAsia="Calibri" w:hAnsi="Arial" w:cs="Arial"/>
        </w:rPr>
        <w:t xml:space="preserve"> </w:t>
      </w:r>
      <w:r w:rsidR="00B02586" w:rsidRPr="00582E03">
        <w:rPr>
          <w:rFonts w:ascii="Arial" w:eastAsia="Calibri" w:hAnsi="Arial" w:cs="Arial"/>
        </w:rPr>
        <w:t xml:space="preserve">nº </w:t>
      </w:r>
      <w:r w:rsidR="00ED318A" w:rsidRPr="00582E03">
        <w:rPr>
          <w:rFonts w:ascii="Arial" w:eastAsia="Calibri" w:hAnsi="Arial" w:cs="Arial"/>
        </w:rPr>
        <w:t>0</w:t>
      </w:r>
      <w:r w:rsidR="008303A5" w:rsidRPr="00582E03">
        <w:rPr>
          <w:rFonts w:ascii="Arial" w:eastAsia="Calibri" w:hAnsi="Arial" w:cs="Arial"/>
        </w:rPr>
        <w:t>4</w:t>
      </w:r>
      <w:r w:rsidR="00592F8A" w:rsidRPr="00582E03">
        <w:rPr>
          <w:rFonts w:ascii="Arial" w:eastAsia="Calibri" w:hAnsi="Arial" w:cs="Arial"/>
        </w:rPr>
        <w:t>7</w:t>
      </w:r>
      <w:r w:rsidR="00B02586" w:rsidRPr="00582E03">
        <w:rPr>
          <w:rFonts w:ascii="Arial" w:eastAsia="Calibri" w:hAnsi="Arial" w:cs="Arial"/>
        </w:rPr>
        <w:t>/2017</w:t>
      </w:r>
      <w:r w:rsidR="00DA5FBA" w:rsidRPr="00582E03">
        <w:rPr>
          <w:rFonts w:ascii="Arial" w:eastAsia="Calibri" w:hAnsi="Arial" w:cs="Arial"/>
        </w:rPr>
        <w:t>, pois presentes a legalidade e a constitucionalidade. Tal parecer jurídico embasa a elaboração do presente parecer.</w:t>
      </w:r>
    </w:p>
    <w:p w:rsidR="00F05D17" w:rsidRPr="00582E03" w:rsidRDefault="00F05D17" w:rsidP="006917A5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582E03">
        <w:rPr>
          <w:rFonts w:ascii="Arial" w:eastAsia="Calibri" w:hAnsi="Arial" w:cs="Arial"/>
          <w:b/>
        </w:rPr>
        <w:t>Análise:</w:t>
      </w:r>
    </w:p>
    <w:p w:rsidR="004A11CF" w:rsidRPr="00582E03" w:rsidRDefault="006910D9" w:rsidP="006917A5">
      <w:pPr>
        <w:spacing w:line="240" w:lineRule="auto"/>
        <w:ind w:firstLine="2268"/>
        <w:jc w:val="both"/>
        <w:rPr>
          <w:rFonts w:ascii="Arial" w:eastAsia="Calibri" w:hAnsi="Arial" w:cs="Arial"/>
          <w:b/>
          <w:u w:val="single"/>
        </w:rPr>
      </w:pPr>
      <w:r w:rsidRPr="00582E03">
        <w:rPr>
          <w:rFonts w:ascii="Arial" w:eastAsia="Calibri" w:hAnsi="Arial" w:cs="Arial"/>
        </w:rPr>
        <w:t xml:space="preserve">Quando à </w:t>
      </w:r>
      <w:r w:rsidRPr="00582E03">
        <w:rPr>
          <w:rFonts w:ascii="Arial" w:eastAsia="Calibri" w:hAnsi="Arial" w:cs="Arial"/>
          <w:b/>
          <w:u w:val="single"/>
        </w:rPr>
        <w:t>constitucionalidade</w:t>
      </w:r>
      <w:r w:rsidR="007B290E" w:rsidRPr="00582E03">
        <w:rPr>
          <w:rFonts w:ascii="Arial" w:eastAsia="Calibri" w:hAnsi="Arial" w:cs="Arial"/>
          <w:b/>
          <w:u w:val="single"/>
        </w:rPr>
        <w:t xml:space="preserve"> e legalidade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Preliminarmente, cumpre informar que todo órgão da administração pública direta e indireta do Poder executivo da União, Estado, Distrito Federal e Município, desde que seja </w:t>
      </w:r>
      <w:proofErr w:type="gramStart"/>
      <w:r w:rsidRPr="00582E03">
        <w:rPr>
          <w:rFonts w:ascii="Arial" w:eastAsia="Calibri" w:hAnsi="Arial" w:cs="Arial"/>
        </w:rPr>
        <w:t>conveniente, oportuno</w:t>
      </w:r>
      <w:proofErr w:type="gramEnd"/>
      <w:r w:rsidRPr="00582E03">
        <w:rPr>
          <w:rFonts w:ascii="Arial" w:eastAsia="Calibri" w:hAnsi="Arial" w:cs="Arial"/>
        </w:rPr>
        <w:t xml:space="preserve"> e vantajoso para a administração, pode receber e realizar doação, instruído o processo com elementos compatíveis de acordo com as normas legais vigentes, obedecendo a Legislação Civil, de Licitações e Administrativas, inclusive com relação à competência da autoridade para aceitar a doação e firmar o termo (no caso de bens móveis) ou a escritura pública (no caso de bens imóveis). 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No tocante à doação de </w:t>
      </w:r>
      <w:r w:rsidRPr="00582E03">
        <w:rPr>
          <w:rFonts w:ascii="Arial" w:eastAsia="Calibri" w:hAnsi="Arial" w:cs="Arial"/>
          <w:b/>
          <w:bCs/>
        </w:rPr>
        <w:t xml:space="preserve">bens móveis </w:t>
      </w:r>
      <w:r w:rsidRPr="00582E03">
        <w:rPr>
          <w:rFonts w:ascii="Arial" w:eastAsia="Calibri" w:hAnsi="Arial" w:cs="Arial"/>
        </w:rPr>
        <w:t xml:space="preserve">é importante ressaltar o que está definido no Art. 17 da Lei Federal nº. 8.666, de 21 de junho de 1993 e alterações posteriores, nos seguintes termos: </w:t>
      </w:r>
    </w:p>
    <w:p w:rsidR="00582E03" w:rsidRPr="00582E03" w:rsidRDefault="00582E03" w:rsidP="00582E03">
      <w:pPr>
        <w:spacing w:line="240" w:lineRule="auto"/>
        <w:ind w:left="2268"/>
        <w:jc w:val="both"/>
        <w:rPr>
          <w:rFonts w:ascii="Arial" w:eastAsia="Calibri" w:hAnsi="Arial" w:cs="Arial"/>
          <w:sz w:val="18"/>
        </w:rPr>
      </w:pPr>
      <w:proofErr w:type="gramStart"/>
      <w:r w:rsidRPr="00582E03">
        <w:rPr>
          <w:rFonts w:ascii="Arial" w:eastAsia="Calibri" w:hAnsi="Arial" w:cs="Arial"/>
          <w:sz w:val="18"/>
        </w:rPr>
        <w:t>“</w:t>
      </w:r>
      <w:r w:rsidRPr="00582E03">
        <w:rPr>
          <w:rFonts w:ascii="Arial" w:eastAsia="Calibri" w:hAnsi="Arial" w:cs="Arial"/>
          <w:i/>
          <w:iCs/>
          <w:sz w:val="18"/>
        </w:rPr>
        <w:t>Art. 17.</w:t>
      </w:r>
      <w:proofErr w:type="gramEnd"/>
      <w:r w:rsidRPr="00582E03">
        <w:rPr>
          <w:rFonts w:ascii="Arial" w:eastAsia="Calibri" w:hAnsi="Arial" w:cs="Arial"/>
          <w:i/>
          <w:iCs/>
          <w:sz w:val="18"/>
        </w:rPr>
        <w:t xml:space="preserve"> A alienação de bens da Administração Pública, subordinada à existência de interesse público devidamente justificado, será precedida de avaliação e obedecerá às seguintes normas: </w:t>
      </w:r>
    </w:p>
    <w:p w:rsidR="00582E03" w:rsidRPr="00582E03" w:rsidRDefault="00582E03" w:rsidP="00582E03">
      <w:pPr>
        <w:spacing w:line="240" w:lineRule="auto"/>
        <w:ind w:left="2268"/>
        <w:jc w:val="both"/>
        <w:rPr>
          <w:rFonts w:ascii="Arial" w:eastAsia="Calibri" w:hAnsi="Arial" w:cs="Arial"/>
          <w:sz w:val="18"/>
        </w:rPr>
      </w:pPr>
      <w:r w:rsidRPr="00582E03">
        <w:rPr>
          <w:rFonts w:ascii="Arial" w:eastAsia="Calibri" w:hAnsi="Arial" w:cs="Arial"/>
          <w:i/>
          <w:iCs/>
          <w:sz w:val="18"/>
        </w:rPr>
        <w:t xml:space="preserve">(...) </w:t>
      </w:r>
    </w:p>
    <w:p w:rsidR="00582E03" w:rsidRPr="00582E03" w:rsidRDefault="00582E03" w:rsidP="00582E03">
      <w:pPr>
        <w:spacing w:line="240" w:lineRule="auto"/>
        <w:ind w:left="2268"/>
        <w:jc w:val="both"/>
        <w:rPr>
          <w:rFonts w:ascii="Arial" w:eastAsia="Calibri" w:hAnsi="Arial" w:cs="Arial"/>
          <w:sz w:val="18"/>
        </w:rPr>
      </w:pPr>
      <w:r w:rsidRPr="00582E03">
        <w:rPr>
          <w:rFonts w:ascii="Arial" w:eastAsia="Calibri" w:hAnsi="Arial" w:cs="Arial"/>
          <w:i/>
          <w:iCs/>
          <w:sz w:val="18"/>
        </w:rPr>
        <w:lastRenderedPageBreak/>
        <w:t xml:space="preserve">II - quando móveis, dependerá de avaliação prévia e de licitação, dispensada esta nos seguintes casos: </w:t>
      </w:r>
    </w:p>
    <w:p w:rsidR="00582E03" w:rsidRPr="00582E03" w:rsidRDefault="00582E03" w:rsidP="00582E03">
      <w:pPr>
        <w:spacing w:line="240" w:lineRule="auto"/>
        <w:ind w:left="2268"/>
        <w:jc w:val="both"/>
        <w:rPr>
          <w:rFonts w:ascii="Arial" w:eastAsia="Calibri" w:hAnsi="Arial" w:cs="Arial"/>
          <w:sz w:val="18"/>
        </w:rPr>
      </w:pPr>
      <w:r w:rsidRPr="00582E03">
        <w:rPr>
          <w:rFonts w:ascii="Arial" w:eastAsia="Calibri" w:hAnsi="Arial" w:cs="Arial"/>
          <w:i/>
          <w:iCs/>
          <w:sz w:val="18"/>
        </w:rPr>
        <w:t xml:space="preserve">a) </w:t>
      </w:r>
      <w:proofErr w:type="gramStart"/>
      <w:r w:rsidRPr="00582E03">
        <w:rPr>
          <w:rFonts w:ascii="Arial" w:eastAsia="Calibri" w:hAnsi="Arial" w:cs="Arial"/>
          <w:i/>
          <w:iCs/>
          <w:sz w:val="18"/>
        </w:rPr>
        <w:t>doação, permitida exclusivamente para fins e uso de interesse social, após avaliação de sua oportunidade e conveniência socioeconômica, relativamente à escolha de outra forma de alienação;”</w:t>
      </w:r>
      <w:proofErr w:type="gramEnd"/>
      <w:r w:rsidRPr="00582E03">
        <w:rPr>
          <w:rFonts w:ascii="Arial" w:eastAsia="Calibri" w:hAnsi="Arial" w:cs="Arial"/>
          <w:i/>
          <w:iCs/>
          <w:sz w:val="18"/>
        </w:rPr>
        <w:t xml:space="preserve"> 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Observa-se, por oportuno, que a doação de bens móveis regrada na lei federal nº 8666/93, acima referida, se refere ao patrimônio público passível de doação para terceiros, ou seja, quando o bem sai do patrimônio do Poder Público e entra no patrimônio de um terceiro, e não o inverso, como o objeto deste PL, onde o Município recebe a doação de bens móveis de um particular. 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A doação decorrente da relação privada, segundo a definição do Código Civil de 2002, é o contrato em que uma pessoa, por liberalidade, transfere do seu patrimônio bens ou vantagens para o de outra (CC/02, art. 538). Da definição trazida pelo Código Civil, extrai-se que o ato de doação é um ato bilateral entre as partes (doação e aceitação), gratuito e realizado por contrato. O doador é aquele que dispõe de seu patrimônio e a donatária, aquela pessoa que recebe o patrimônio. A doação é uma espécie de contrato bem antiga, que se distingue da compra e venda porque na doação a circulação do bem de uma pessoa para outra é gratuita. Em regra, o doador age por simples liberalidade ou generosidade. 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No entanto, essa situação é evidenciada quando a doação não tem encargos, que parece ser o caso em tela, vez que a incorporação de Câmeras digitais no patrimônio público municipal requer apenas o tombamento destes bens, após a emissão de um termo firmado entre as partes (doador e donatário), sem que se visualizem outras despesas para o seu recebimento, hipótese que torna dispensável autorização legislativa para sua </w:t>
      </w:r>
      <w:proofErr w:type="spellStart"/>
      <w:r w:rsidRPr="00582E03">
        <w:rPr>
          <w:rFonts w:ascii="Arial" w:eastAsia="Calibri" w:hAnsi="Arial" w:cs="Arial"/>
        </w:rPr>
        <w:t>perfectibilização</w:t>
      </w:r>
      <w:proofErr w:type="spellEnd"/>
      <w:r w:rsidRPr="00582E03">
        <w:rPr>
          <w:rFonts w:ascii="Arial" w:eastAsia="Calibri" w:hAnsi="Arial" w:cs="Arial"/>
        </w:rPr>
        <w:t xml:space="preserve">, bem como qualquer procedimento licitatório. </w:t>
      </w:r>
    </w:p>
    <w:p w:rsidR="00582E03" w:rsidRPr="00582E03" w:rsidRDefault="00582E03" w:rsidP="00582E03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>Entretanto, como a propositura foi encaminhada pelo Poder Executivo, ainda que a Lei Orgânica do município não o exija, requerendo a apreciação Legislativa, não verificamos óbice em relação a sua tramitação nesta Casa, porquanto evidenciado o interesse público no recebimento destes bens, como ferramentas de apoio à fiscalização municipal.</w:t>
      </w:r>
    </w:p>
    <w:p w:rsidR="001204C8" w:rsidRPr="00582E03" w:rsidRDefault="00F05D17" w:rsidP="00E66997">
      <w:pPr>
        <w:spacing w:line="240" w:lineRule="auto"/>
        <w:ind w:firstLine="2268"/>
        <w:jc w:val="both"/>
        <w:rPr>
          <w:rFonts w:ascii="Arial" w:eastAsia="Calibri" w:hAnsi="Arial" w:cs="Arial"/>
          <w:b/>
          <w:u w:val="single"/>
        </w:rPr>
      </w:pPr>
      <w:r w:rsidRPr="00582E03">
        <w:rPr>
          <w:rFonts w:ascii="Arial" w:eastAsia="Calibri" w:hAnsi="Arial" w:cs="Arial"/>
        </w:rPr>
        <w:t xml:space="preserve">Quanto à </w:t>
      </w:r>
      <w:r w:rsidRPr="00582E03">
        <w:rPr>
          <w:rFonts w:ascii="Arial" w:eastAsia="Calibri" w:hAnsi="Arial" w:cs="Arial"/>
          <w:b/>
          <w:u w:val="single"/>
        </w:rPr>
        <w:t>iniciativa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O projeto versa sobre a doação de bens móveis ao município.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Quanto à competência para legislar a matéria, a Lei orgânica assim estabelece: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proofErr w:type="gramStart"/>
      <w:r w:rsidRPr="00582E03">
        <w:rPr>
          <w:rFonts w:ascii="Arial" w:eastAsia="Calibri" w:hAnsi="Arial" w:cs="Arial"/>
          <w:i/>
          <w:iCs/>
        </w:rPr>
        <w:t xml:space="preserve">“Art. 6º Compete ao Município no exercício de sua autonomia: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proofErr w:type="gramEnd"/>
      <w:r w:rsidRPr="00582E03">
        <w:rPr>
          <w:rFonts w:ascii="Arial" w:eastAsia="Calibri" w:hAnsi="Arial" w:cs="Arial"/>
          <w:i/>
          <w:iCs/>
        </w:rPr>
        <w:t xml:space="preserve">(...)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i/>
          <w:iCs/>
        </w:rPr>
        <w:t>III – administrar seus bens</w:t>
      </w:r>
      <w:proofErr w:type="gramStart"/>
      <w:r w:rsidRPr="00582E03">
        <w:rPr>
          <w:rFonts w:ascii="Arial" w:eastAsia="Calibri" w:hAnsi="Arial" w:cs="Arial"/>
          <w:i/>
          <w:iCs/>
        </w:rPr>
        <w:t>, adquiri-los</w:t>
      </w:r>
      <w:proofErr w:type="gramEnd"/>
      <w:r w:rsidRPr="00582E03">
        <w:rPr>
          <w:rFonts w:ascii="Arial" w:eastAsia="Calibri" w:hAnsi="Arial" w:cs="Arial"/>
          <w:i/>
          <w:iCs/>
        </w:rPr>
        <w:t xml:space="preserve"> e aliená-los, aceitar doações, legados, heranças e dispor de sua aplicação;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i/>
          <w:iCs/>
        </w:rPr>
        <w:t xml:space="preserve">(...)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  <w:i/>
          <w:iCs/>
        </w:rPr>
        <w:t xml:space="preserve">XXIV – legislar sobre assuntos de interesse local; </w:t>
      </w:r>
    </w:p>
    <w:p w:rsidR="00582E03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Assim, o presente PL encontra-se em conformidade com as normas legais vigentes, por ser de competência do Município normatização sobre doação de bens, </w:t>
      </w:r>
      <w:r w:rsidRPr="00582E03">
        <w:rPr>
          <w:rFonts w:ascii="Arial" w:eastAsia="Calibri" w:hAnsi="Arial" w:cs="Arial"/>
          <w:b/>
          <w:bCs/>
        </w:rPr>
        <w:t xml:space="preserve">NÃO </w:t>
      </w:r>
      <w:r w:rsidRPr="00582E03">
        <w:rPr>
          <w:rFonts w:ascii="Arial" w:eastAsia="Calibri" w:hAnsi="Arial" w:cs="Arial"/>
        </w:rPr>
        <w:t xml:space="preserve">se registrando, desta forma, qualquer vício de origem </w:t>
      </w:r>
      <w:proofErr w:type="gramStart"/>
      <w:r w:rsidRPr="00582E03">
        <w:rPr>
          <w:rFonts w:ascii="Arial" w:eastAsia="Calibri" w:hAnsi="Arial" w:cs="Arial"/>
        </w:rPr>
        <w:t>na presente</w:t>
      </w:r>
      <w:proofErr w:type="gramEnd"/>
      <w:r w:rsidRPr="00582E03">
        <w:rPr>
          <w:rFonts w:ascii="Arial" w:eastAsia="Calibri" w:hAnsi="Arial" w:cs="Arial"/>
        </w:rPr>
        <w:t xml:space="preserve"> propositura, nos termos do art. 61, § 1º, II, “b”, da Constituição Federal, aplicado por simetria.</w:t>
      </w:r>
    </w:p>
    <w:p w:rsidR="00F7300F" w:rsidRPr="00582E03" w:rsidRDefault="00582E03" w:rsidP="00582E03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lastRenderedPageBreak/>
        <w:t>Pelo exposto, entendemos ser cabível ao Chefe do Poder Executivo iniciar o processo legislativo nos termos apresentados.</w:t>
      </w:r>
    </w:p>
    <w:p w:rsidR="001204C8" w:rsidRPr="00582E03" w:rsidRDefault="00F05D17" w:rsidP="00415112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u w:val="single"/>
        </w:rPr>
      </w:pPr>
      <w:r w:rsidRPr="00582E03">
        <w:rPr>
          <w:rFonts w:ascii="Arial" w:eastAsia="Calibri" w:hAnsi="Arial" w:cs="Arial"/>
        </w:rPr>
        <w:t xml:space="preserve">Em relação à </w:t>
      </w:r>
      <w:r w:rsidRPr="00582E03">
        <w:rPr>
          <w:rFonts w:ascii="Arial" w:eastAsia="Calibri" w:hAnsi="Arial" w:cs="Arial"/>
          <w:b/>
          <w:u w:val="single"/>
        </w:rPr>
        <w:t>técnica legislativa</w:t>
      </w:r>
    </w:p>
    <w:p w:rsidR="008303A5" w:rsidRPr="00582E03" w:rsidRDefault="008303A5" w:rsidP="008303A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A uniformidade que requer o ordenamento jurídico não </w:t>
      </w:r>
      <w:proofErr w:type="gramStart"/>
      <w:r w:rsidRPr="00582E03">
        <w:rPr>
          <w:rFonts w:ascii="Arial" w:eastAsia="Calibri" w:hAnsi="Arial" w:cs="Arial"/>
        </w:rPr>
        <w:t>permite,</w:t>
      </w:r>
      <w:proofErr w:type="gramEnd"/>
      <w:r w:rsidRPr="00582E03">
        <w:rPr>
          <w:rFonts w:ascii="Arial" w:eastAsia="Calibri" w:hAnsi="Arial" w:cs="Arial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 </w:t>
      </w:r>
    </w:p>
    <w:p w:rsidR="008303A5" w:rsidRPr="00582E03" w:rsidRDefault="008303A5" w:rsidP="008303A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Neste quesito, observamos que o PL, ora em análise, apresenta epígrafe, ementa e está disposto em artigos, parágrafos e incisos, seguindo a estrutura das normas de redação definidas na LC 95/98. </w:t>
      </w:r>
    </w:p>
    <w:p w:rsidR="008303A5" w:rsidRPr="00582E03" w:rsidRDefault="008303A5" w:rsidP="008303A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No que se refere ao prazo de vigência, que ficou estabelecido para entrar em vigor na data da publicação, também segue o disposto na LC 95/98 para leis de pequena repercussão, apresentando formatação adequada, ao nosso juízo, dentro das normas legais vigentes. </w:t>
      </w:r>
    </w:p>
    <w:p w:rsidR="008303A5" w:rsidRPr="00582E03" w:rsidRDefault="008303A5" w:rsidP="008303A5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</w:rPr>
      </w:pPr>
    </w:p>
    <w:p w:rsidR="00F05D17" w:rsidRPr="00582E03" w:rsidRDefault="00F05D17" w:rsidP="008303A5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582E03">
        <w:rPr>
          <w:rFonts w:ascii="Arial" w:eastAsia="Calibri" w:hAnsi="Arial" w:cs="Arial"/>
          <w:b/>
        </w:rPr>
        <w:t>Conclusão do Voto:</w:t>
      </w:r>
    </w:p>
    <w:p w:rsidR="00F05D17" w:rsidRPr="00582E03" w:rsidRDefault="00F05D17" w:rsidP="006917A5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u w:val="single"/>
        </w:rPr>
      </w:pPr>
      <w:r w:rsidRPr="00582E03">
        <w:rPr>
          <w:rFonts w:ascii="Arial" w:eastAsia="Calibri" w:hAnsi="Arial" w:cs="Arial"/>
        </w:rPr>
        <w:tab/>
        <w:t>Diante dos fundamentos legais e constitucionais expostos,</w:t>
      </w:r>
      <w:r w:rsidR="00E45270" w:rsidRPr="00582E03">
        <w:rPr>
          <w:rFonts w:ascii="Arial" w:eastAsia="Calibri" w:hAnsi="Arial" w:cs="Arial"/>
        </w:rPr>
        <w:t xml:space="preserve"> com fundamento no parecer jurídico da Procuradora Geral desta Casa</w:t>
      </w:r>
      <w:r w:rsidR="00954242" w:rsidRPr="00582E03">
        <w:rPr>
          <w:rFonts w:ascii="Arial" w:eastAsia="Calibri" w:hAnsi="Arial" w:cs="Arial"/>
        </w:rPr>
        <w:t xml:space="preserve">, </w:t>
      </w:r>
      <w:r w:rsidRPr="00582E03">
        <w:rPr>
          <w:rFonts w:ascii="Arial" w:eastAsia="Calibri" w:hAnsi="Arial" w:cs="Arial"/>
        </w:rPr>
        <w:t>esta Relatoria, depois de debate realizado na Comi</w:t>
      </w:r>
      <w:r w:rsidR="00DC1025" w:rsidRPr="00582E03">
        <w:rPr>
          <w:rFonts w:ascii="Arial" w:eastAsia="Calibri" w:hAnsi="Arial" w:cs="Arial"/>
        </w:rPr>
        <w:t>ssão, disponibiliza o presente v</w:t>
      </w:r>
      <w:r w:rsidRPr="00582E03">
        <w:rPr>
          <w:rFonts w:ascii="Arial" w:eastAsia="Calibri" w:hAnsi="Arial" w:cs="Arial"/>
        </w:rPr>
        <w:t>oto favorável à tramitação da matéria</w:t>
      </w:r>
      <w:r w:rsidR="00582E03" w:rsidRPr="00582E03">
        <w:rPr>
          <w:rFonts w:ascii="Arial" w:eastAsia="Calibri" w:hAnsi="Arial" w:cs="Arial"/>
        </w:rPr>
        <w:t xml:space="preserve">, </w:t>
      </w:r>
      <w:r w:rsidR="00582E03" w:rsidRPr="00582E03">
        <w:rPr>
          <w:rFonts w:ascii="Arial" w:eastAsia="Calibri" w:hAnsi="Arial" w:cs="Arial"/>
          <w:u w:val="single"/>
        </w:rPr>
        <w:t>acatando a sugestão contida no Parecer Jurídico nº 71/2017, para que seja confirmada se o recebimento destes bens não tem encargos, dado o art. 2º do PL, que refere que “</w:t>
      </w:r>
      <w:r w:rsidR="00582E03" w:rsidRPr="00582E03">
        <w:rPr>
          <w:rFonts w:ascii="Arial" w:eastAsia="Calibri" w:hAnsi="Arial" w:cs="Arial"/>
          <w:i/>
          <w:iCs/>
          <w:u w:val="single"/>
        </w:rPr>
        <w:t xml:space="preserve">as despesas para a execução </w:t>
      </w:r>
      <w:proofErr w:type="gramStart"/>
      <w:r w:rsidR="00582E03" w:rsidRPr="00582E03">
        <w:rPr>
          <w:rFonts w:ascii="Arial" w:eastAsia="Calibri" w:hAnsi="Arial" w:cs="Arial"/>
          <w:i/>
          <w:iCs/>
          <w:u w:val="single"/>
        </w:rPr>
        <w:t>da presente</w:t>
      </w:r>
      <w:proofErr w:type="gramEnd"/>
      <w:r w:rsidR="00582E03" w:rsidRPr="00582E03">
        <w:rPr>
          <w:rFonts w:ascii="Arial" w:eastAsia="Calibri" w:hAnsi="Arial" w:cs="Arial"/>
          <w:i/>
          <w:iCs/>
          <w:u w:val="single"/>
        </w:rPr>
        <w:t xml:space="preserve"> lei correrão por conta de dotações orçamentárias próprias</w:t>
      </w:r>
      <w:r w:rsidR="00582E03" w:rsidRPr="00582E03">
        <w:rPr>
          <w:rFonts w:ascii="Arial" w:eastAsia="Calibri" w:hAnsi="Arial" w:cs="Arial"/>
          <w:u w:val="single"/>
        </w:rPr>
        <w:t>”, sugerindo que podem haver despesas, em que pese não evidenciadas</w:t>
      </w:r>
      <w:r w:rsidR="00C15929" w:rsidRPr="00582E03">
        <w:rPr>
          <w:rFonts w:ascii="Arial" w:eastAsia="Calibri" w:hAnsi="Arial" w:cs="Arial"/>
          <w:u w:val="single"/>
        </w:rPr>
        <w:t>.</w:t>
      </w:r>
    </w:p>
    <w:p w:rsidR="00F05D17" w:rsidRPr="00582E03" w:rsidRDefault="00ED318A" w:rsidP="006917A5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ab/>
      </w:r>
      <w:r w:rsidR="00F05D17" w:rsidRPr="00582E03">
        <w:rPr>
          <w:rFonts w:ascii="Arial" w:eastAsia="Calibri" w:hAnsi="Arial" w:cs="Arial"/>
        </w:rPr>
        <w:t xml:space="preserve">Sala das Comissões, em </w:t>
      </w:r>
      <w:r w:rsidR="00582E03" w:rsidRPr="00582E03">
        <w:rPr>
          <w:rFonts w:ascii="Arial" w:eastAsia="Calibri" w:hAnsi="Arial" w:cs="Arial"/>
        </w:rPr>
        <w:t>06</w:t>
      </w:r>
      <w:r w:rsidR="00500FA5" w:rsidRPr="00582E03">
        <w:rPr>
          <w:rFonts w:ascii="Arial" w:eastAsia="Calibri" w:hAnsi="Arial" w:cs="Arial"/>
        </w:rPr>
        <w:t xml:space="preserve"> de </w:t>
      </w:r>
      <w:r w:rsidR="00582E03" w:rsidRPr="00582E03">
        <w:rPr>
          <w:rFonts w:ascii="Arial" w:eastAsia="Calibri" w:hAnsi="Arial" w:cs="Arial"/>
        </w:rPr>
        <w:t>novem</w:t>
      </w:r>
      <w:r w:rsidR="00E64E93" w:rsidRPr="00582E03">
        <w:rPr>
          <w:rFonts w:ascii="Arial" w:eastAsia="Calibri" w:hAnsi="Arial" w:cs="Arial"/>
        </w:rPr>
        <w:t>bro</w:t>
      </w:r>
      <w:r w:rsidR="00500FA5" w:rsidRPr="00582E03">
        <w:rPr>
          <w:rFonts w:ascii="Arial" w:eastAsia="Calibri" w:hAnsi="Arial" w:cs="Arial"/>
        </w:rPr>
        <w:t xml:space="preserve"> de 2017.</w:t>
      </w:r>
    </w:p>
    <w:p w:rsidR="00C15929" w:rsidRDefault="00C15929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582E03" w:rsidRPr="00582E03" w:rsidRDefault="00582E03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bookmarkStart w:id="0" w:name="_GoBack"/>
      <w:bookmarkEnd w:id="0"/>
    </w:p>
    <w:p w:rsidR="00500FA5" w:rsidRPr="00582E03" w:rsidRDefault="00500FA5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>Vereadora Relatora</w:t>
      </w:r>
    </w:p>
    <w:p w:rsidR="00500FA5" w:rsidRPr="00582E03" w:rsidRDefault="00500FA5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Manu </w:t>
      </w:r>
      <w:proofErr w:type="spellStart"/>
      <w:r w:rsidRPr="00582E03">
        <w:rPr>
          <w:rFonts w:ascii="Arial" w:eastAsia="Calibri" w:hAnsi="Arial" w:cs="Arial"/>
        </w:rPr>
        <w:t>Caliari</w:t>
      </w:r>
      <w:proofErr w:type="spellEnd"/>
    </w:p>
    <w:p w:rsidR="00E45270" w:rsidRPr="00582E03" w:rsidRDefault="00E45270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>Acompanhando o voto da relatora:</w:t>
      </w:r>
    </w:p>
    <w:p w:rsidR="002B3B2C" w:rsidRPr="00582E03" w:rsidRDefault="002B3B2C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E45270" w:rsidRPr="00582E03" w:rsidRDefault="00E45270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>Vereador Presidente</w:t>
      </w:r>
    </w:p>
    <w:p w:rsidR="00E45270" w:rsidRPr="00582E03" w:rsidRDefault="00E45270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 xml:space="preserve">Rafael </w:t>
      </w:r>
      <w:proofErr w:type="spellStart"/>
      <w:r w:rsidRPr="00582E03">
        <w:rPr>
          <w:rFonts w:ascii="Arial" w:eastAsia="Calibri" w:hAnsi="Arial" w:cs="Arial"/>
        </w:rPr>
        <w:t>Ronsoni</w:t>
      </w:r>
      <w:proofErr w:type="spellEnd"/>
    </w:p>
    <w:p w:rsidR="00927F78" w:rsidRPr="00582E03" w:rsidRDefault="00927F78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</w:p>
    <w:p w:rsidR="00500FA5" w:rsidRPr="00582E03" w:rsidRDefault="00500FA5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582E03">
        <w:rPr>
          <w:rFonts w:ascii="Arial" w:eastAsia="Calibri" w:hAnsi="Arial" w:cs="Arial"/>
        </w:rPr>
        <w:t>Vereador Vice-Presidente</w:t>
      </w:r>
    </w:p>
    <w:p w:rsidR="00F2329E" w:rsidRPr="00582E03" w:rsidRDefault="00500FA5" w:rsidP="006917A5">
      <w:pPr>
        <w:tabs>
          <w:tab w:val="left" w:pos="1701"/>
          <w:tab w:val="left" w:pos="5059"/>
        </w:tabs>
        <w:spacing w:line="240" w:lineRule="auto"/>
        <w:jc w:val="center"/>
        <w:rPr>
          <w:rFonts w:ascii="Arial" w:hAnsi="Arial" w:cs="Arial"/>
        </w:rPr>
      </w:pPr>
      <w:r w:rsidRPr="00582E03">
        <w:rPr>
          <w:rFonts w:ascii="Arial" w:eastAsia="Calibri" w:hAnsi="Arial" w:cs="Arial"/>
        </w:rPr>
        <w:t xml:space="preserve">Everton </w:t>
      </w:r>
      <w:proofErr w:type="spellStart"/>
      <w:r w:rsidRPr="00582E03">
        <w:rPr>
          <w:rFonts w:ascii="Arial" w:eastAsia="Calibri" w:hAnsi="Arial" w:cs="Arial"/>
        </w:rPr>
        <w:t>Michaelsen</w:t>
      </w:r>
      <w:proofErr w:type="spellEnd"/>
    </w:p>
    <w:sectPr w:rsidR="00F2329E" w:rsidRPr="00582E03" w:rsidSect="00752D93">
      <w:headerReference w:type="default" r:id="rId9"/>
      <w:footerReference w:type="default" r:id="rId10"/>
      <w:pgSz w:w="11906" w:h="16838"/>
      <w:pgMar w:top="851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D5" w:rsidRDefault="00F75FD5" w:rsidP="00E87D4A">
      <w:pPr>
        <w:spacing w:after="0" w:line="240" w:lineRule="auto"/>
      </w:pPr>
      <w:r>
        <w:separator/>
      </w:r>
    </w:p>
  </w:endnote>
  <w:endnote w:type="continuationSeparator" w:id="0">
    <w:p w:rsidR="00F75FD5" w:rsidRDefault="00F75FD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D5" w:rsidRDefault="00F75FD5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E07BC37" wp14:editId="79CC5E0C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F75FD5" w:rsidRDefault="00F75FD5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D5" w:rsidRDefault="00F75FD5" w:rsidP="00E87D4A">
      <w:pPr>
        <w:spacing w:after="0" w:line="240" w:lineRule="auto"/>
      </w:pPr>
      <w:r>
        <w:separator/>
      </w:r>
    </w:p>
  </w:footnote>
  <w:footnote w:type="continuationSeparator" w:id="0">
    <w:p w:rsidR="00F75FD5" w:rsidRDefault="00F75FD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FD5" w:rsidRPr="00E87D4A" w:rsidRDefault="00F75FD5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7ACCC46" wp14:editId="3B25A3B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F20B75"/>
    <w:multiLevelType w:val="hybridMultilevel"/>
    <w:tmpl w:val="2C949E00"/>
    <w:lvl w:ilvl="0" w:tplc="339422EC">
      <w:start w:val="7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5A4C"/>
    <w:multiLevelType w:val="hybridMultilevel"/>
    <w:tmpl w:val="C77A3ADC"/>
    <w:lvl w:ilvl="0" w:tplc="9A08C8D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7FE"/>
    <w:rsid w:val="00035E17"/>
    <w:rsid w:val="00054245"/>
    <w:rsid w:val="00065D9B"/>
    <w:rsid w:val="000A47A3"/>
    <w:rsid w:val="000B3C58"/>
    <w:rsid w:val="001204C8"/>
    <w:rsid w:val="0013266E"/>
    <w:rsid w:val="001463F6"/>
    <w:rsid w:val="00156C1C"/>
    <w:rsid w:val="001D4D2A"/>
    <w:rsid w:val="00202605"/>
    <w:rsid w:val="0021539D"/>
    <w:rsid w:val="00241611"/>
    <w:rsid w:val="002522A4"/>
    <w:rsid w:val="002608AB"/>
    <w:rsid w:val="002667A6"/>
    <w:rsid w:val="002767B2"/>
    <w:rsid w:val="002A2915"/>
    <w:rsid w:val="002B3B2C"/>
    <w:rsid w:val="002C126B"/>
    <w:rsid w:val="002C4C09"/>
    <w:rsid w:val="002D2D94"/>
    <w:rsid w:val="003005FA"/>
    <w:rsid w:val="003108CF"/>
    <w:rsid w:val="0033705A"/>
    <w:rsid w:val="0034001D"/>
    <w:rsid w:val="003655A1"/>
    <w:rsid w:val="0039275A"/>
    <w:rsid w:val="003F155C"/>
    <w:rsid w:val="003F54BA"/>
    <w:rsid w:val="003F6E36"/>
    <w:rsid w:val="004126CC"/>
    <w:rsid w:val="00415112"/>
    <w:rsid w:val="004170A5"/>
    <w:rsid w:val="004276A0"/>
    <w:rsid w:val="00434F27"/>
    <w:rsid w:val="00440288"/>
    <w:rsid w:val="00442305"/>
    <w:rsid w:val="00453E60"/>
    <w:rsid w:val="00467542"/>
    <w:rsid w:val="00482543"/>
    <w:rsid w:val="004A11CF"/>
    <w:rsid w:val="004A408F"/>
    <w:rsid w:val="004B2C02"/>
    <w:rsid w:val="004C4DBA"/>
    <w:rsid w:val="004C7FCF"/>
    <w:rsid w:val="004E2FDE"/>
    <w:rsid w:val="00500FA5"/>
    <w:rsid w:val="00501B73"/>
    <w:rsid w:val="005124D1"/>
    <w:rsid w:val="0055601E"/>
    <w:rsid w:val="005617C5"/>
    <w:rsid w:val="00564BD1"/>
    <w:rsid w:val="00567EF7"/>
    <w:rsid w:val="0058188A"/>
    <w:rsid w:val="00582E03"/>
    <w:rsid w:val="00592622"/>
    <w:rsid w:val="00592F8A"/>
    <w:rsid w:val="005D59AE"/>
    <w:rsid w:val="005F6010"/>
    <w:rsid w:val="00631318"/>
    <w:rsid w:val="006349A2"/>
    <w:rsid w:val="00663257"/>
    <w:rsid w:val="00666BF8"/>
    <w:rsid w:val="006910D9"/>
    <w:rsid w:val="006917A5"/>
    <w:rsid w:val="006939D0"/>
    <w:rsid w:val="006E2854"/>
    <w:rsid w:val="006E2858"/>
    <w:rsid w:val="00715872"/>
    <w:rsid w:val="00715E2C"/>
    <w:rsid w:val="00747A7A"/>
    <w:rsid w:val="00752D93"/>
    <w:rsid w:val="007718F4"/>
    <w:rsid w:val="007918F3"/>
    <w:rsid w:val="0079464B"/>
    <w:rsid w:val="007B290E"/>
    <w:rsid w:val="007B2FDD"/>
    <w:rsid w:val="007D428D"/>
    <w:rsid w:val="007D5AA6"/>
    <w:rsid w:val="007E4009"/>
    <w:rsid w:val="008303A5"/>
    <w:rsid w:val="0086183E"/>
    <w:rsid w:val="0086747B"/>
    <w:rsid w:val="00873384"/>
    <w:rsid w:val="0087544C"/>
    <w:rsid w:val="00884F96"/>
    <w:rsid w:val="008943E6"/>
    <w:rsid w:val="008A3C2B"/>
    <w:rsid w:val="008F0853"/>
    <w:rsid w:val="0090288F"/>
    <w:rsid w:val="0090615D"/>
    <w:rsid w:val="00921A7E"/>
    <w:rsid w:val="00927F78"/>
    <w:rsid w:val="009312C8"/>
    <w:rsid w:val="00954242"/>
    <w:rsid w:val="0096753D"/>
    <w:rsid w:val="00A166A1"/>
    <w:rsid w:val="00A270FF"/>
    <w:rsid w:val="00A327CC"/>
    <w:rsid w:val="00A3548C"/>
    <w:rsid w:val="00A90B79"/>
    <w:rsid w:val="00A96556"/>
    <w:rsid w:val="00AA1AB2"/>
    <w:rsid w:val="00AB37CE"/>
    <w:rsid w:val="00AB3F7D"/>
    <w:rsid w:val="00AD1C4D"/>
    <w:rsid w:val="00AE0EA3"/>
    <w:rsid w:val="00AE4FF5"/>
    <w:rsid w:val="00B00930"/>
    <w:rsid w:val="00B02586"/>
    <w:rsid w:val="00B06501"/>
    <w:rsid w:val="00B201D6"/>
    <w:rsid w:val="00B21102"/>
    <w:rsid w:val="00B22729"/>
    <w:rsid w:val="00B420B2"/>
    <w:rsid w:val="00B466FD"/>
    <w:rsid w:val="00B64B51"/>
    <w:rsid w:val="00B802D9"/>
    <w:rsid w:val="00B8049D"/>
    <w:rsid w:val="00BA3174"/>
    <w:rsid w:val="00BB0FA2"/>
    <w:rsid w:val="00BB2345"/>
    <w:rsid w:val="00BC1303"/>
    <w:rsid w:val="00BD38AB"/>
    <w:rsid w:val="00C15929"/>
    <w:rsid w:val="00C537CA"/>
    <w:rsid w:val="00C9458E"/>
    <w:rsid w:val="00CB2F74"/>
    <w:rsid w:val="00CE58A8"/>
    <w:rsid w:val="00CF2331"/>
    <w:rsid w:val="00D0453B"/>
    <w:rsid w:val="00D146C3"/>
    <w:rsid w:val="00D37813"/>
    <w:rsid w:val="00D62E1D"/>
    <w:rsid w:val="00D65976"/>
    <w:rsid w:val="00D7023F"/>
    <w:rsid w:val="00D74590"/>
    <w:rsid w:val="00D75252"/>
    <w:rsid w:val="00DA5FBA"/>
    <w:rsid w:val="00DC1025"/>
    <w:rsid w:val="00DD0287"/>
    <w:rsid w:val="00DE73CE"/>
    <w:rsid w:val="00DF5FDF"/>
    <w:rsid w:val="00E45270"/>
    <w:rsid w:val="00E56F64"/>
    <w:rsid w:val="00E64E93"/>
    <w:rsid w:val="00E66997"/>
    <w:rsid w:val="00E72B13"/>
    <w:rsid w:val="00E748E8"/>
    <w:rsid w:val="00E8368E"/>
    <w:rsid w:val="00E87D4A"/>
    <w:rsid w:val="00E9581C"/>
    <w:rsid w:val="00EC1451"/>
    <w:rsid w:val="00ED318A"/>
    <w:rsid w:val="00EE753B"/>
    <w:rsid w:val="00F02692"/>
    <w:rsid w:val="00F0413A"/>
    <w:rsid w:val="00F059AB"/>
    <w:rsid w:val="00F05D17"/>
    <w:rsid w:val="00F2329E"/>
    <w:rsid w:val="00F2591F"/>
    <w:rsid w:val="00F26057"/>
    <w:rsid w:val="00F450CC"/>
    <w:rsid w:val="00F451CC"/>
    <w:rsid w:val="00F54E1E"/>
    <w:rsid w:val="00F5566E"/>
    <w:rsid w:val="00F7300F"/>
    <w:rsid w:val="00F75FD5"/>
    <w:rsid w:val="00F853B7"/>
    <w:rsid w:val="00F96B74"/>
    <w:rsid w:val="00FA4406"/>
    <w:rsid w:val="00FC3E75"/>
    <w:rsid w:val="00FF1693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752D93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752D93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52D93"/>
    <w:pPr>
      <w:tabs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240" w:lineRule="auto"/>
      <w:ind w:left="4253"/>
      <w:jc w:val="both"/>
    </w:pPr>
    <w:rPr>
      <w:rFonts w:ascii="Arial" w:eastAsia="Times New Roman" w:hAnsi="Arial" w:cs="Times New Roman"/>
      <w:i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52D93"/>
    <w:rPr>
      <w:rFonts w:ascii="Arial" w:eastAsia="Times New Roman" w:hAnsi="Arial" w:cs="Times New Roman"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D93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D93"/>
    <w:rPr>
      <w:rFonts w:ascii="Arial" w:eastAsia="Times New Roman" w:hAnsi="Arial" w:cs="Times New Roman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9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64BD1"/>
  </w:style>
  <w:style w:type="character" w:customStyle="1" w:styleId="firstementa">
    <w:name w:val="firstementa"/>
    <w:basedOn w:val="Fontepargpadro"/>
    <w:rsid w:val="00BC1303"/>
  </w:style>
  <w:style w:type="character" w:customStyle="1" w:styleId="hidden">
    <w:name w:val="hidden"/>
    <w:basedOn w:val="Fontepargpadro"/>
    <w:rsid w:val="00BC1303"/>
  </w:style>
  <w:style w:type="character" w:customStyle="1" w:styleId="Ttulo2Char">
    <w:name w:val="Título 2 Char"/>
    <w:basedOn w:val="Fontepargpadro"/>
    <w:link w:val="Ttulo2"/>
    <w:uiPriority w:val="9"/>
    <w:semiHidden/>
    <w:rsid w:val="002522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label">
    <w:name w:val="label"/>
    <w:basedOn w:val="Fontepargpadro"/>
    <w:rsid w:val="007B2FD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58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58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58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F144-531C-474C-864A-43097D9AB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5</cp:revision>
  <cp:lastPrinted>2017-11-06T12:06:00Z</cp:lastPrinted>
  <dcterms:created xsi:type="dcterms:W3CDTF">2017-11-06T11:47:00Z</dcterms:created>
  <dcterms:modified xsi:type="dcterms:W3CDTF">2017-11-06T12:08:00Z</dcterms:modified>
</cp:coreProperties>
</file>