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A5" w:rsidRPr="00663257" w:rsidRDefault="00500FA5" w:rsidP="00663257">
      <w:pPr>
        <w:tabs>
          <w:tab w:val="left" w:pos="1418"/>
          <w:tab w:val="left" w:pos="5059"/>
        </w:tabs>
        <w:spacing w:line="240" w:lineRule="auto"/>
        <w:jc w:val="center"/>
        <w:rPr>
          <w:rFonts w:ascii="Arial" w:eastAsia="Calibri" w:hAnsi="Arial" w:cs="Arial"/>
          <w:b/>
          <w:sz w:val="23"/>
          <w:szCs w:val="23"/>
        </w:rPr>
      </w:pPr>
    </w:p>
    <w:p w:rsidR="00F05D17" w:rsidRPr="00663257" w:rsidRDefault="00F05D17" w:rsidP="00663257">
      <w:pPr>
        <w:tabs>
          <w:tab w:val="left" w:pos="1418"/>
          <w:tab w:val="left" w:pos="5059"/>
        </w:tabs>
        <w:spacing w:line="240" w:lineRule="auto"/>
        <w:jc w:val="center"/>
        <w:rPr>
          <w:rFonts w:ascii="Arial" w:eastAsia="Calibri" w:hAnsi="Arial" w:cs="Arial"/>
          <w:b/>
          <w:sz w:val="23"/>
          <w:szCs w:val="23"/>
        </w:rPr>
      </w:pPr>
      <w:r w:rsidRPr="00663257">
        <w:rPr>
          <w:rFonts w:ascii="Arial" w:eastAsia="Calibri" w:hAnsi="Arial" w:cs="Arial"/>
          <w:b/>
          <w:sz w:val="23"/>
          <w:szCs w:val="23"/>
        </w:rPr>
        <w:t xml:space="preserve">COMISSÃO DE CONSTITUIÇÃO, JUSTIÇA E </w:t>
      </w:r>
      <w:proofErr w:type="gramStart"/>
      <w:r w:rsidRPr="00663257">
        <w:rPr>
          <w:rFonts w:ascii="Arial" w:eastAsia="Calibri" w:hAnsi="Arial" w:cs="Arial"/>
          <w:b/>
          <w:sz w:val="23"/>
          <w:szCs w:val="23"/>
        </w:rPr>
        <w:t>REDAÇÃO</w:t>
      </w:r>
      <w:proofErr w:type="gramEnd"/>
    </w:p>
    <w:p w:rsidR="00F05D17" w:rsidRPr="00663257" w:rsidRDefault="00F05D17" w:rsidP="00663257">
      <w:pPr>
        <w:tabs>
          <w:tab w:val="left" w:pos="1418"/>
          <w:tab w:val="left" w:pos="5059"/>
        </w:tabs>
        <w:spacing w:line="240" w:lineRule="auto"/>
        <w:jc w:val="center"/>
        <w:rPr>
          <w:rFonts w:ascii="Arial" w:eastAsia="Calibri" w:hAnsi="Arial" w:cs="Arial"/>
          <w:b/>
          <w:sz w:val="23"/>
          <w:szCs w:val="23"/>
        </w:rPr>
      </w:pPr>
    </w:p>
    <w:p w:rsidR="00F05D17" w:rsidRPr="00663257" w:rsidRDefault="00F05D17" w:rsidP="00663257">
      <w:pPr>
        <w:tabs>
          <w:tab w:val="left" w:pos="1418"/>
          <w:tab w:val="left" w:pos="5059"/>
        </w:tabs>
        <w:spacing w:line="240" w:lineRule="auto"/>
        <w:jc w:val="both"/>
        <w:rPr>
          <w:rFonts w:ascii="Arial" w:eastAsia="Calibri" w:hAnsi="Arial" w:cs="Arial"/>
          <w:sz w:val="23"/>
          <w:szCs w:val="23"/>
        </w:rPr>
      </w:pPr>
      <w:r w:rsidRPr="00663257">
        <w:rPr>
          <w:rFonts w:ascii="Arial" w:eastAsia="Calibri" w:hAnsi="Arial" w:cs="Arial"/>
          <w:b/>
          <w:sz w:val="23"/>
          <w:szCs w:val="23"/>
        </w:rPr>
        <w:t>Parecer:</w:t>
      </w:r>
      <w:r w:rsidR="004276A0" w:rsidRPr="00663257">
        <w:rPr>
          <w:rFonts w:ascii="Arial" w:eastAsia="Calibri" w:hAnsi="Arial" w:cs="Arial"/>
          <w:sz w:val="23"/>
          <w:szCs w:val="23"/>
        </w:rPr>
        <w:t xml:space="preserve"> </w:t>
      </w:r>
      <w:r w:rsidR="00C537CA" w:rsidRPr="00663257">
        <w:rPr>
          <w:rFonts w:ascii="Arial" w:eastAsia="Calibri" w:hAnsi="Arial" w:cs="Arial"/>
          <w:sz w:val="23"/>
          <w:szCs w:val="23"/>
        </w:rPr>
        <w:t>7</w:t>
      </w:r>
      <w:r w:rsidR="00FF76B4" w:rsidRPr="00663257">
        <w:rPr>
          <w:rFonts w:ascii="Arial" w:eastAsia="Calibri" w:hAnsi="Arial" w:cs="Arial"/>
          <w:sz w:val="23"/>
          <w:szCs w:val="23"/>
        </w:rPr>
        <w:t>3</w:t>
      </w:r>
      <w:r w:rsidRPr="00663257">
        <w:rPr>
          <w:rFonts w:ascii="Arial" w:eastAsia="Calibri" w:hAnsi="Arial" w:cs="Arial"/>
          <w:sz w:val="23"/>
          <w:szCs w:val="23"/>
        </w:rPr>
        <w:t>/2017</w:t>
      </w:r>
    </w:p>
    <w:p w:rsidR="00F05D17" w:rsidRPr="00663257" w:rsidRDefault="00F05D17" w:rsidP="00663257">
      <w:pPr>
        <w:tabs>
          <w:tab w:val="left" w:pos="1418"/>
          <w:tab w:val="left" w:pos="4253"/>
        </w:tabs>
        <w:spacing w:line="240" w:lineRule="auto"/>
        <w:jc w:val="both"/>
        <w:rPr>
          <w:rFonts w:ascii="Arial" w:eastAsia="Calibri" w:hAnsi="Arial" w:cs="Arial"/>
          <w:sz w:val="23"/>
          <w:szCs w:val="23"/>
        </w:rPr>
      </w:pPr>
      <w:r w:rsidRPr="00663257">
        <w:rPr>
          <w:rFonts w:ascii="Arial" w:eastAsia="Calibri" w:hAnsi="Arial" w:cs="Arial"/>
          <w:b/>
          <w:sz w:val="23"/>
          <w:szCs w:val="23"/>
        </w:rPr>
        <w:t>Data:</w:t>
      </w:r>
      <w:r w:rsidRPr="00663257">
        <w:rPr>
          <w:rFonts w:ascii="Arial" w:eastAsia="Calibri" w:hAnsi="Arial" w:cs="Arial"/>
          <w:sz w:val="23"/>
          <w:szCs w:val="23"/>
        </w:rPr>
        <w:t xml:space="preserve"> </w:t>
      </w:r>
      <w:r w:rsidR="00054245" w:rsidRPr="00663257">
        <w:rPr>
          <w:rFonts w:ascii="Arial" w:eastAsia="Calibri" w:hAnsi="Arial" w:cs="Arial"/>
          <w:sz w:val="23"/>
          <w:szCs w:val="23"/>
        </w:rPr>
        <w:t>06</w:t>
      </w:r>
      <w:r w:rsidR="00B8049D" w:rsidRPr="00663257">
        <w:rPr>
          <w:rFonts w:ascii="Arial" w:eastAsia="Calibri" w:hAnsi="Arial" w:cs="Arial"/>
          <w:sz w:val="23"/>
          <w:szCs w:val="23"/>
        </w:rPr>
        <w:t xml:space="preserve"> </w:t>
      </w:r>
      <w:r w:rsidRPr="00663257">
        <w:rPr>
          <w:rFonts w:ascii="Arial" w:eastAsia="Calibri" w:hAnsi="Arial" w:cs="Arial"/>
          <w:sz w:val="23"/>
          <w:szCs w:val="23"/>
        </w:rPr>
        <w:t xml:space="preserve">de </w:t>
      </w:r>
      <w:r w:rsidR="0058188A" w:rsidRPr="00663257">
        <w:rPr>
          <w:rFonts w:ascii="Arial" w:eastAsia="Calibri" w:hAnsi="Arial" w:cs="Arial"/>
          <w:sz w:val="23"/>
          <w:szCs w:val="23"/>
        </w:rPr>
        <w:t>ju</w:t>
      </w:r>
      <w:r w:rsidR="00054245" w:rsidRPr="00663257">
        <w:rPr>
          <w:rFonts w:ascii="Arial" w:eastAsia="Calibri" w:hAnsi="Arial" w:cs="Arial"/>
          <w:sz w:val="23"/>
          <w:szCs w:val="23"/>
        </w:rPr>
        <w:t>l</w:t>
      </w:r>
      <w:r w:rsidR="0058188A" w:rsidRPr="00663257">
        <w:rPr>
          <w:rFonts w:ascii="Arial" w:eastAsia="Calibri" w:hAnsi="Arial" w:cs="Arial"/>
          <w:sz w:val="23"/>
          <w:szCs w:val="23"/>
        </w:rPr>
        <w:t>ho</w:t>
      </w:r>
      <w:r w:rsidR="004276A0" w:rsidRPr="00663257">
        <w:rPr>
          <w:rFonts w:ascii="Arial" w:eastAsia="Calibri" w:hAnsi="Arial" w:cs="Arial"/>
          <w:sz w:val="23"/>
          <w:szCs w:val="23"/>
        </w:rPr>
        <w:t xml:space="preserve"> </w:t>
      </w:r>
      <w:r w:rsidRPr="00663257">
        <w:rPr>
          <w:rFonts w:ascii="Arial" w:eastAsia="Calibri" w:hAnsi="Arial" w:cs="Arial"/>
          <w:sz w:val="23"/>
          <w:szCs w:val="23"/>
        </w:rPr>
        <w:t>de 2017</w:t>
      </w:r>
    </w:p>
    <w:p w:rsidR="002767B2" w:rsidRPr="00663257" w:rsidRDefault="00F05D17" w:rsidP="00663257">
      <w:pPr>
        <w:tabs>
          <w:tab w:val="left" w:pos="1418"/>
        </w:tabs>
        <w:spacing w:line="240" w:lineRule="auto"/>
        <w:jc w:val="both"/>
        <w:rPr>
          <w:rFonts w:ascii="Arial" w:eastAsia="Calibri" w:hAnsi="Arial" w:cs="Arial"/>
          <w:sz w:val="23"/>
          <w:szCs w:val="23"/>
        </w:rPr>
      </w:pPr>
      <w:r w:rsidRPr="00663257">
        <w:rPr>
          <w:rFonts w:ascii="Arial" w:eastAsia="Calibri" w:hAnsi="Arial" w:cs="Arial"/>
          <w:b/>
          <w:sz w:val="23"/>
          <w:szCs w:val="23"/>
        </w:rPr>
        <w:t>Matéria:</w:t>
      </w:r>
      <w:r w:rsidRPr="00663257">
        <w:rPr>
          <w:rFonts w:ascii="Arial" w:eastAsia="Calibri" w:hAnsi="Arial" w:cs="Arial"/>
          <w:sz w:val="23"/>
          <w:szCs w:val="23"/>
        </w:rPr>
        <w:t xml:space="preserve"> </w:t>
      </w:r>
      <w:r w:rsidR="004276A0" w:rsidRPr="00663257">
        <w:rPr>
          <w:rFonts w:ascii="Arial" w:eastAsia="Calibri" w:hAnsi="Arial" w:cs="Arial"/>
          <w:sz w:val="23"/>
          <w:szCs w:val="23"/>
        </w:rPr>
        <w:t xml:space="preserve">Projeto de Lei </w:t>
      </w:r>
      <w:r w:rsidR="00631318" w:rsidRPr="00663257">
        <w:rPr>
          <w:rFonts w:ascii="Arial" w:eastAsia="Calibri" w:hAnsi="Arial" w:cs="Arial"/>
          <w:sz w:val="23"/>
          <w:szCs w:val="23"/>
        </w:rPr>
        <w:t>2</w:t>
      </w:r>
      <w:r w:rsidR="00FF76B4" w:rsidRPr="00663257">
        <w:rPr>
          <w:rFonts w:ascii="Arial" w:eastAsia="Calibri" w:hAnsi="Arial" w:cs="Arial"/>
          <w:sz w:val="23"/>
          <w:szCs w:val="23"/>
        </w:rPr>
        <w:t>6</w:t>
      </w:r>
      <w:r w:rsidR="004276A0" w:rsidRPr="00663257">
        <w:rPr>
          <w:rFonts w:ascii="Arial" w:eastAsia="Calibri" w:hAnsi="Arial" w:cs="Arial"/>
          <w:sz w:val="23"/>
          <w:szCs w:val="23"/>
        </w:rPr>
        <w:t>/2017</w:t>
      </w:r>
      <w:r w:rsidR="00B8049D" w:rsidRPr="00663257">
        <w:rPr>
          <w:rFonts w:ascii="Arial" w:eastAsia="Calibri" w:hAnsi="Arial" w:cs="Arial"/>
          <w:sz w:val="23"/>
          <w:szCs w:val="23"/>
        </w:rPr>
        <w:t xml:space="preserve"> </w:t>
      </w:r>
    </w:p>
    <w:p w:rsidR="00F05D17" w:rsidRPr="00663257" w:rsidRDefault="00F05D17" w:rsidP="00663257">
      <w:pPr>
        <w:tabs>
          <w:tab w:val="left" w:pos="1418"/>
        </w:tabs>
        <w:spacing w:line="240" w:lineRule="auto"/>
        <w:jc w:val="both"/>
        <w:rPr>
          <w:rFonts w:ascii="Arial" w:eastAsia="Calibri" w:hAnsi="Arial" w:cs="Arial"/>
          <w:sz w:val="23"/>
          <w:szCs w:val="23"/>
        </w:rPr>
      </w:pPr>
      <w:r w:rsidRPr="00663257">
        <w:rPr>
          <w:rFonts w:ascii="Arial" w:eastAsia="Calibri" w:hAnsi="Arial" w:cs="Arial"/>
          <w:b/>
          <w:sz w:val="23"/>
          <w:szCs w:val="23"/>
        </w:rPr>
        <w:t>Autor:</w:t>
      </w:r>
      <w:r w:rsidRPr="00663257">
        <w:rPr>
          <w:rFonts w:ascii="Arial" w:eastAsia="Calibri" w:hAnsi="Arial" w:cs="Arial"/>
          <w:sz w:val="23"/>
          <w:szCs w:val="23"/>
        </w:rPr>
        <w:t xml:space="preserve"> Poder Executivo</w:t>
      </w:r>
    </w:p>
    <w:p w:rsidR="00F05D17" w:rsidRPr="00663257" w:rsidRDefault="00F05D17" w:rsidP="00663257">
      <w:pPr>
        <w:tabs>
          <w:tab w:val="left" w:pos="1418"/>
          <w:tab w:val="left" w:pos="4253"/>
        </w:tabs>
        <w:spacing w:line="240" w:lineRule="auto"/>
        <w:jc w:val="both"/>
        <w:rPr>
          <w:rFonts w:ascii="Arial" w:eastAsia="Calibri" w:hAnsi="Arial" w:cs="Arial"/>
          <w:sz w:val="23"/>
          <w:szCs w:val="23"/>
        </w:rPr>
      </w:pPr>
      <w:r w:rsidRPr="00663257">
        <w:rPr>
          <w:rFonts w:ascii="Arial" w:eastAsia="Calibri" w:hAnsi="Arial" w:cs="Arial"/>
          <w:b/>
          <w:sz w:val="23"/>
          <w:szCs w:val="23"/>
        </w:rPr>
        <w:t>Relator:</w:t>
      </w:r>
      <w:r w:rsidRPr="00663257">
        <w:rPr>
          <w:rFonts w:ascii="Arial" w:eastAsia="Calibri" w:hAnsi="Arial" w:cs="Arial"/>
          <w:sz w:val="23"/>
          <w:szCs w:val="23"/>
        </w:rPr>
        <w:t xml:space="preserve"> </w:t>
      </w:r>
      <w:r w:rsidR="004276A0" w:rsidRPr="00663257">
        <w:rPr>
          <w:rFonts w:ascii="Arial" w:eastAsia="Calibri" w:hAnsi="Arial" w:cs="Arial"/>
          <w:sz w:val="23"/>
          <w:szCs w:val="23"/>
        </w:rPr>
        <w:t>Ver. Manu Calliari</w:t>
      </w:r>
      <w:r w:rsidRPr="00663257">
        <w:rPr>
          <w:rFonts w:ascii="Arial" w:eastAsia="Calibri" w:hAnsi="Arial" w:cs="Arial"/>
          <w:sz w:val="23"/>
          <w:szCs w:val="23"/>
        </w:rPr>
        <w:tab/>
      </w:r>
      <w:r w:rsidR="00065D9B" w:rsidRPr="00663257">
        <w:rPr>
          <w:rFonts w:ascii="Arial" w:eastAsia="Calibri" w:hAnsi="Arial" w:cs="Arial"/>
          <w:sz w:val="23"/>
          <w:szCs w:val="23"/>
        </w:rPr>
        <w:tab/>
      </w:r>
      <w:r w:rsidR="00065D9B" w:rsidRPr="00663257">
        <w:rPr>
          <w:rFonts w:ascii="Arial" w:eastAsia="Calibri" w:hAnsi="Arial" w:cs="Arial"/>
          <w:sz w:val="23"/>
          <w:szCs w:val="23"/>
        </w:rPr>
        <w:tab/>
      </w:r>
      <w:r w:rsidRPr="00663257">
        <w:rPr>
          <w:rFonts w:ascii="Arial" w:eastAsia="Calibri" w:hAnsi="Arial" w:cs="Arial"/>
          <w:b/>
          <w:sz w:val="23"/>
          <w:szCs w:val="23"/>
        </w:rPr>
        <w:t>Conclusão do Voto:</w:t>
      </w:r>
      <w:r w:rsidRPr="00663257">
        <w:rPr>
          <w:rFonts w:ascii="Arial" w:eastAsia="Calibri" w:hAnsi="Arial" w:cs="Arial"/>
          <w:sz w:val="23"/>
          <w:szCs w:val="23"/>
        </w:rPr>
        <w:t xml:space="preserve"> Favorável </w:t>
      </w:r>
    </w:p>
    <w:p w:rsidR="002522A4" w:rsidRPr="00663257" w:rsidRDefault="00F05D17" w:rsidP="00663257">
      <w:pPr>
        <w:tabs>
          <w:tab w:val="left" w:pos="1418"/>
          <w:tab w:val="left" w:pos="5059"/>
        </w:tabs>
        <w:spacing w:line="240" w:lineRule="auto"/>
        <w:jc w:val="both"/>
        <w:rPr>
          <w:rFonts w:ascii="Arial" w:eastAsia="Calibri" w:hAnsi="Arial" w:cs="Arial"/>
          <w:b/>
          <w:bCs/>
          <w:sz w:val="23"/>
          <w:szCs w:val="23"/>
        </w:rPr>
      </w:pPr>
      <w:r w:rsidRPr="00663257">
        <w:rPr>
          <w:rFonts w:ascii="Arial" w:eastAsia="Calibri" w:hAnsi="Arial" w:cs="Arial"/>
          <w:b/>
          <w:sz w:val="23"/>
          <w:szCs w:val="23"/>
        </w:rPr>
        <w:t xml:space="preserve">Ementa: </w:t>
      </w:r>
      <w:r w:rsidR="002522A4" w:rsidRPr="00663257">
        <w:rPr>
          <w:rFonts w:ascii="Arial" w:eastAsia="Calibri" w:hAnsi="Arial" w:cs="Arial"/>
          <w:b/>
          <w:sz w:val="23"/>
          <w:szCs w:val="23"/>
        </w:rPr>
        <w:t>“</w:t>
      </w:r>
      <w:r w:rsidR="00FF76B4" w:rsidRPr="00663257">
        <w:rPr>
          <w:rFonts w:ascii="Arial" w:eastAsia="Calibri" w:hAnsi="Arial" w:cs="Arial"/>
          <w:iCs/>
          <w:sz w:val="23"/>
          <w:szCs w:val="23"/>
        </w:rPr>
        <w:t>Altera a Lei nº 2.812, de 11 de fevereiro de 2010, que autoriza o Poder executivo Municipal a conceder permissão de uso de bem imóvel e dá outras providências.</w:t>
      </w:r>
      <w:proofErr w:type="gramStart"/>
      <w:r w:rsidR="002522A4" w:rsidRPr="00663257">
        <w:rPr>
          <w:rFonts w:ascii="Arial" w:eastAsia="Calibri" w:hAnsi="Arial" w:cs="Arial"/>
          <w:iCs/>
          <w:sz w:val="23"/>
          <w:szCs w:val="23"/>
        </w:rPr>
        <w:t>”</w:t>
      </w:r>
      <w:proofErr w:type="gramEnd"/>
    </w:p>
    <w:p w:rsidR="00F05D17" w:rsidRPr="00663257" w:rsidRDefault="00F05D17" w:rsidP="00663257">
      <w:pPr>
        <w:tabs>
          <w:tab w:val="left" w:pos="1418"/>
          <w:tab w:val="left" w:pos="5059"/>
        </w:tabs>
        <w:spacing w:line="240" w:lineRule="auto"/>
        <w:jc w:val="both"/>
        <w:rPr>
          <w:rFonts w:ascii="Arial" w:eastAsia="Calibri" w:hAnsi="Arial" w:cs="Arial"/>
          <w:sz w:val="23"/>
          <w:szCs w:val="23"/>
        </w:rPr>
      </w:pPr>
    </w:p>
    <w:p w:rsidR="00F05D17" w:rsidRPr="00663257" w:rsidRDefault="00F05D17" w:rsidP="00663257">
      <w:pPr>
        <w:tabs>
          <w:tab w:val="left" w:pos="1418"/>
          <w:tab w:val="left" w:pos="5059"/>
        </w:tabs>
        <w:spacing w:line="240" w:lineRule="auto"/>
        <w:jc w:val="center"/>
        <w:rPr>
          <w:rFonts w:ascii="Arial" w:eastAsia="Calibri" w:hAnsi="Arial" w:cs="Arial"/>
          <w:b/>
          <w:sz w:val="23"/>
          <w:szCs w:val="23"/>
        </w:rPr>
      </w:pPr>
      <w:r w:rsidRPr="00663257">
        <w:rPr>
          <w:rFonts w:ascii="Arial" w:eastAsia="Calibri" w:hAnsi="Arial" w:cs="Arial"/>
          <w:b/>
          <w:sz w:val="23"/>
          <w:szCs w:val="23"/>
        </w:rPr>
        <w:t>Relatóri</w:t>
      </w:r>
      <w:bookmarkStart w:id="0" w:name="_GoBack"/>
      <w:bookmarkEnd w:id="0"/>
      <w:r w:rsidRPr="00663257">
        <w:rPr>
          <w:rFonts w:ascii="Arial" w:eastAsia="Calibri" w:hAnsi="Arial" w:cs="Arial"/>
          <w:b/>
          <w:sz w:val="23"/>
          <w:szCs w:val="23"/>
        </w:rPr>
        <w:t>o:</w:t>
      </w:r>
    </w:p>
    <w:p w:rsidR="002667A6" w:rsidRPr="00663257" w:rsidRDefault="002667A6" w:rsidP="00663257">
      <w:pPr>
        <w:tabs>
          <w:tab w:val="left" w:pos="1418"/>
          <w:tab w:val="left" w:pos="5059"/>
        </w:tabs>
        <w:spacing w:line="240" w:lineRule="auto"/>
        <w:jc w:val="center"/>
        <w:rPr>
          <w:rFonts w:ascii="Arial" w:eastAsia="Calibri" w:hAnsi="Arial" w:cs="Arial"/>
          <w:b/>
          <w:sz w:val="23"/>
          <w:szCs w:val="23"/>
        </w:rPr>
      </w:pPr>
    </w:p>
    <w:p w:rsidR="00F05D17" w:rsidRPr="00663257" w:rsidRDefault="00F05D17" w:rsidP="00663257">
      <w:pPr>
        <w:tabs>
          <w:tab w:val="left" w:pos="2268"/>
          <w:tab w:val="left" w:pos="5059"/>
        </w:tabs>
        <w:spacing w:line="240" w:lineRule="auto"/>
        <w:jc w:val="both"/>
        <w:rPr>
          <w:rFonts w:ascii="Arial" w:eastAsia="Calibri" w:hAnsi="Arial" w:cs="Arial"/>
          <w:i/>
          <w:sz w:val="23"/>
          <w:szCs w:val="23"/>
        </w:rPr>
      </w:pPr>
      <w:r w:rsidRPr="00663257">
        <w:rPr>
          <w:rFonts w:ascii="Arial" w:eastAsia="Calibri" w:hAnsi="Arial" w:cs="Arial"/>
          <w:sz w:val="23"/>
          <w:szCs w:val="23"/>
        </w:rPr>
        <w:tab/>
        <w:t>O Projeto de Lei em análise foi apresentado nesta Casa Legislativa no dia</w:t>
      </w:r>
      <w:r w:rsidR="00065D9B" w:rsidRPr="00663257">
        <w:rPr>
          <w:rFonts w:ascii="Arial" w:eastAsia="Calibri" w:hAnsi="Arial" w:cs="Arial"/>
          <w:sz w:val="23"/>
          <w:szCs w:val="23"/>
        </w:rPr>
        <w:t xml:space="preserve"> </w:t>
      </w:r>
      <w:r w:rsidR="00FF76B4" w:rsidRPr="00663257">
        <w:rPr>
          <w:rFonts w:ascii="Arial" w:eastAsia="Calibri" w:hAnsi="Arial" w:cs="Arial"/>
          <w:sz w:val="23"/>
          <w:szCs w:val="23"/>
        </w:rPr>
        <w:t>03</w:t>
      </w:r>
      <w:r w:rsidRPr="00663257">
        <w:rPr>
          <w:rFonts w:ascii="Arial" w:eastAsia="Calibri" w:hAnsi="Arial" w:cs="Arial"/>
          <w:sz w:val="23"/>
          <w:szCs w:val="23"/>
        </w:rPr>
        <w:t xml:space="preserve"> de </w:t>
      </w:r>
      <w:r w:rsidR="00C537CA" w:rsidRPr="00663257">
        <w:rPr>
          <w:rFonts w:ascii="Arial" w:eastAsia="Calibri" w:hAnsi="Arial" w:cs="Arial"/>
          <w:sz w:val="23"/>
          <w:szCs w:val="23"/>
        </w:rPr>
        <w:t>ju</w:t>
      </w:r>
      <w:r w:rsidR="00FF76B4" w:rsidRPr="00663257">
        <w:rPr>
          <w:rFonts w:ascii="Arial" w:eastAsia="Calibri" w:hAnsi="Arial" w:cs="Arial"/>
          <w:sz w:val="23"/>
          <w:szCs w:val="23"/>
        </w:rPr>
        <w:t>l</w:t>
      </w:r>
      <w:r w:rsidR="00C537CA" w:rsidRPr="00663257">
        <w:rPr>
          <w:rFonts w:ascii="Arial" w:eastAsia="Calibri" w:hAnsi="Arial" w:cs="Arial"/>
          <w:sz w:val="23"/>
          <w:szCs w:val="23"/>
        </w:rPr>
        <w:t>ho</w:t>
      </w:r>
      <w:r w:rsidRPr="00663257">
        <w:rPr>
          <w:rFonts w:ascii="Arial" w:eastAsia="Calibri" w:hAnsi="Arial" w:cs="Arial"/>
          <w:sz w:val="23"/>
          <w:szCs w:val="23"/>
        </w:rPr>
        <w:t xml:space="preserve"> de 2017</w:t>
      </w:r>
      <w:r w:rsidR="00CF2331" w:rsidRPr="00663257">
        <w:rPr>
          <w:rFonts w:ascii="Arial" w:eastAsia="Calibri" w:hAnsi="Arial" w:cs="Arial"/>
          <w:sz w:val="23"/>
          <w:szCs w:val="23"/>
        </w:rPr>
        <w:t xml:space="preserve"> e pretende </w:t>
      </w:r>
      <w:r w:rsidR="002522A4" w:rsidRPr="00663257">
        <w:rPr>
          <w:rFonts w:ascii="Arial" w:eastAsia="Calibri" w:hAnsi="Arial" w:cs="Arial"/>
          <w:sz w:val="23"/>
          <w:szCs w:val="23"/>
        </w:rPr>
        <w:t>buscar autorização legislativa para</w:t>
      </w:r>
      <w:r w:rsidR="00FF76B4" w:rsidRPr="00663257">
        <w:rPr>
          <w:rFonts w:ascii="Arial" w:eastAsia="Calibri" w:hAnsi="Arial" w:cs="Arial"/>
          <w:sz w:val="23"/>
          <w:szCs w:val="23"/>
        </w:rPr>
        <w:t xml:space="preserve"> alterar a lei nº 2.812, que “Autoriza o Poder Executivo Municipal a conceder permissão de uso de bem imóvel”. Em sua justificativa relata o Poder Executivo, que o objetivo do presente </w:t>
      </w:r>
      <w:proofErr w:type="gramStart"/>
      <w:r w:rsidR="00FF76B4" w:rsidRPr="00663257">
        <w:rPr>
          <w:rFonts w:ascii="Arial" w:eastAsia="Calibri" w:hAnsi="Arial" w:cs="Arial"/>
          <w:sz w:val="23"/>
          <w:szCs w:val="23"/>
        </w:rPr>
        <w:t>Projeto</w:t>
      </w:r>
      <w:proofErr w:type="gramEnd"/>
      <w:r w:rsidR="00FF76B4" w:rsidRPr="00663257">
        <w:rPr>
          <w:rFonts w:ascii="Arial" w:eastAsia="Calibri" w:hAnsi="Arial" w:cs="Arial"/>
          <w:sz w:val="23"/>
          <w:szCs w:val="23"/>
        </w:rPr>
        <w:t xml:space="preserve"> de Lei </w:t>
      </w:r>
      <w:r w:rsidR="00F059AB" w:rsidRPr="00663257">
        <w:rPr>
          <w:rFonts w:ascii="Arial" w:eastAsia="Calibri" w:hAnsi="Arial" w:cs="Arial"/>
          <w:sz w:val="23"/>
          <w:szCs w:val="23"/>
        </w:rPr>
        <w:t xml:space="preserve">é adequar a legislação às demandas que surgiram na Secretaria Municipal de Fazenda, ainda no ano de 2016, no que diz respeito às contratações e manutenções dos módulos existentes na Rua Coberta. Aduz, ainda, que não há que se falar em licitação para conceder as permissões de uso, vez que a própria lei já define que somente os comerciantes estabelecidos na Rua Coberta, com estabelecimentos frontais aos módulos existentes é que </w:t>
      </w:r>
      <w:proofErr w:type="gramStart"/>
      <w:r w:rsidR="00F059AB" w:rsidRPr="00663257">
        <w:rPr>
          <w:rFonts w:ascii="Arial" w:eastAsia="Calibri" w:hAnsi="Arial" w:cs="Arial"/>
          <w:sz w:val="23"/>
          <w:szCs w:val="23"/>
        </w:rPr>
        <w:t>podem ser</w:t>
      </w:r>
      <w:proofErr w:type="gramEnd"/>
      <w:r w:rsidR="00F059AB" w:rsidRPr="00663257">
        <w:rPr>
          <w:rFonts w:ascii="Arial" w:eastAsia="Calibri" w:hAnsi="Arial" w:cs="Arial"/>
          <w:sz w:val="23"/>
          <w:szCs w:val="23"/>
        </w:rPr>
        <w:t xml:space="preserve"> permissionários dos espaços públicos, razão pela qual o processo deve ser por </w:t>
      </w:r>
      <w:proofErr w:type="spellStart"/>
      <w:r w:rsidR="00F059AB" w:rsidRPr="00663257">
        <w:rPr>
          <w:rFonts w:ascii="Arial" w:eastAsia="Calibri" w:hAnsi="Arial" w:cs="Arial"/>
          <w:sz w:val="23"/>
          <w:szCs w:val="23"/>
        </w:rPr>
        <w:t>inexibilidade</w:t>
      </w:r>
      <w:proofErr w:type="spellEnd"/>
      <w:r w:rsidR="00F059AB" w:rsidRPr="00663257">
        <w:rPr>
          <w:rFonts w:ascii="Arial" w:eastAsia="Calibri" w:hAnsi="Arial" w:cs="Arial"/>
          <w:sz w:val="23"/>
          <w:szCs w:val="23"/>
        </w:rPr>
        <w:t xml:space="preserve"> de licitação, sendo necessário esta adequação no texto. Por fim, em 05/07/2017, protocola mensagem retificativa, corrigindo a metragem quadrada do </w:t>
      </w:r>
      <w:proofErr w:type="gramStart"/>
      <w:r w:rsidR="00F059AB" w:rsidRPr="00663257">
        <w:rPr>
          <w:rFonts w:ascii="Arial" w:eastAsia="Calibri" w:hAnsi="Arial" w:cs="Arial"/>
          <w:sz w:val="23"/>
          <w:szCs w:val="23"/>
        </w:rPr>
        <w:t>módulo 21</w:t>
      </w:r>
      <w:proofErr w:type="gramEnd"/>
      <w:r w:rsidR="00F059AB" w:rsidRPr="00663257">
        <w:rPr>
          <w:rFonts w:ascii="Arial" w:eastAsia="Calibri" w:hAnsi="Arial" w:cs="Arial"/>
          <w:sz w:val="23"/>
          <w:szCs w:val="23"/>
        </w:rPr>
        <w:t xml:space="preserve">, passando de 2,50 m² para 4,00 m². Inclui o § 1º no art. 2º da lei, renumerando o atual parágrafo único para § 2º. Inclui § 2º no art. 3º e renumera o atual §2º e §3º para §3º e §4º, respectivamente. </w:t>
      </w:r>
      <w:r w:rsidR="00DA5FBA" w:rsidRPr="00663257">
        <w:rPr>
          <w:rFonts w:ascii="Arial" w:eastAsia="Calibri" w:hAnsi="Arial" w:cs="Arial"/>
          <w:sz w:val="23"/>
          <w:szCs w:val="23"/>
        </w:rPr>
        <w:t>O projeto já foi analisado pela Procuradora Geral da Casa, a qual proferiu parecer jurídico</w:t>
      </w:r>
      <w:r w:rsidR="00EE753B" w:rsidRPr="00663257">
        <w:rPr>
          <w:rFonts w:ascii="Arial" w:eastAsia="Calibri" w:hAnsi="Arial" w:cs="Arial"/>
          <w:sz w:val="23"/>
          <w:szCs w:val="23"/>
        </w:rPr>
        <w:t xml:space="preserve"> nº </w:t>
      </w:r>
      <w:r w:rsidR="0087544C" w:rsidRPr="00663257">
        <w:rPr>
          <w:rFonts w:ascii="Arial" w:eastAsia="Calibri" w:hAnsi="Arial" w:cs="Arial"/>
          <w:sz w:val="23"/>
          <w:szCs w:val="23"/>
        </w:rPr>
        <w:t>4</w:t>
      </w:r>
      <w:r w:rsidR="00F059AB" w:rsidRPr="00663257">
        <w:rPr>
          <w:rFonts w:ascii="Arial" w:eastAsia="Calibri" w:hAnsi="Arial" w:cs="Arial"/>
          <w:sz w:val="23"/>
          <w:szCs w:val="23"/>
        </w:rPr>
        <w:t>0</w:t>
      </w:r>
      <w:r w:rsidR="00EE753B" w:rsidRPr="00663257">
        <w:rPr>
          <w:rFonts w:ascii="Arial" w:eastAsia="Calibri" w:hAnsi="Arial" w:cs="Arial"/>
          <w:sz w:val="23"/>
          <w:szCs w:val="23"/>
        </w:rPr>
        <w:t>/2017</w:t>
      </w:r>
      <w:r w:rsidR="00DA5FBA" w:rsidRPr="00663257">
        <w:rPr>
          <w:rFonts w:ascii="Arial" w:eastAsia="Calibri" w:hAnsi="Arial" w:cs="Arial"/>
          <w:sz w:val="23"/>
          <w:szCs w:val="23"/>
        </w:rPr>
        <w:t xml:space="preserve"> favorável à tramitação</w:t>
      </w:r>
      <w:r w:rsidR="00B02586" w:rsidRPr="00663257">
        <w:rPr>
          <w:rFonts w:ascii="Arial" w:eastAsia="Calibri" w:hAnsi="Arial" w:cs="Arial"/>
          <w:sz w:val="23"/>
          <w:szCs w:val="23"/>
        </w:rPr>
        <w:t xml:space="preserve"> do Projeto de Lei nº </w:t>
      </w:r>
      <w:r w:rsidR="00C537CA" w:rsidRPr="00663257">
        <w:rPr>
          <w:rFonts w:ascii="Arial" w:eastAsia="Calibri" w:hAnsi="Arial" w:cs="Arial"/>
          <w:sz w:val="23"/>
          <w:szCs w:val="23"/>
        </w:rPr>
        <w:t>02</w:t>
      </w:r>
      <w:r w:rsidR="00F059AB" w:rsidRPr="00663257">
        <w:rPr>
          <w:rFonts w:ascii="Arial" w:eastAsia="Calibri" w:hAnsi="Arial" w:cs="Arial"/>
          <w:sz w:val="23"/>
          <w:szCs w:val="23"/>
        </w:rPr>
        <w:t>6</w:t>
      </w:r>
      <w:r w:rsidR="00B02586" w:rsidRPr="00663257">
        <w:rPr>
          <w:rFonts w:ascii="Arial" w:eastAsia="Calibri" w:hAnsi="Arial" w:cs="Arial"/>
          <w:sz w:val="23"/>
          <w:szCs w:val="23"/>
        </w:rPr>
        <w:t>/2017</w:t>
      </w:r>
      <w:r w:rsidR="00DA5FBA" w:rsidRPr="00663257">
        <w:rPr>
          <w:rFonts w:ascii="Arial" w:eastAsia="Calibri" w:hAnsi="Arial" w:cs="Arial"/>
          <w:sz w:val="23"/>
          <w:szCs w:val="23"/>
        </w:rPr>
        <w:t>, pois presentes a legalidade e a constitucionalidade. Tal parecer jurídico embasa a elaboração do presente parecer.</w:t>
      </w:r>
    </w:p>
    <w:p w:rsidR="00F05D17" w:rsidRPr="00663257" w:rsidRDefault="00F05D17" w:rsidP="00663257">
      <w:pPr>
        <w:tabs>
          <w:tab w:val="left" w:pos="1418"/>
          <w:tab w:val="left" w:pos="5059"/>
        </w:tabs>
        <w:spacing w:line="240" w:lineRule="auto"/>
        <w:jc w:val="center"/>
        <w:rPr>
          <w:rFonts w:ascii="Arial" w:eastAsia="Calibri" w:hAnsi="Arial" w:cs="Arial"/>
          <w:b/>
          <w:sz w:val="23"/>
          <w:szCs w:val="23"/>
        </w:rPr>
      </w:pPr>
      <w:r w:rsidRPr="00663257">
        <w:rPr>
          <w:rFonts w:ascii="Arial" w:eastAsia="Calibri" w:hAnsi="Arial" w:cs="Arial"/>
          <w:b/>
          <w:sz w:val="23"/>
          <w:szCs w:val="23"/>
        </w:rPr>
        <w:t>Análise:</w:t>
      </w:r>
    </w:p>
    <w:p w:rsidR="004A11CF" w:rsidRPr="00663257" w:rsidRDefault="006910D9" w:rsidP="00663257">
      <w:pPr>
        <w:spacing w:line="240" w:lineRule="auto"/>
        <w:ind w:firstLine="2268"/>
        <w:jc w:val="both"/>
        <w:rPr>
          <w:rFonts w:ascii="Arial" w:hAnsi="Arial" w:cs="Arial"/>
          <w:i/>
          <w:sz w:val="23"/>
          <w:szCs w:val="23"/>
        </w:rPr>
      </w:pPr>
      <w:r w:rsidRPr="00663257">
        <w:rPr>
          <w:rFonts w:ascii="Arial" w:eastAsia="Calibri" w:hAnsi="Arial" w:cs="Arial"/>
          <w:sz w:val="23"/>
          <w:szCs w:val="23"/>
        </w:rPr>
        <w:t xml:space="preserve">Quando à </w:t>
      </w:r>
      <w:r w:rsidRPr="00663257">
        <w:rPr>
          <w:rFonts w:ascii="Arial" w:eastAsia="Calibri" w:hAnsi="Arial" w:cs="Arial"/>
          <w:b/>
          <w:sz w:val="23"/>
          <w:szCs w:val="23"/>
          <w:u w:val="single"/>
        </w:rPr>
        <w:t>constitucionalidade</w:t>
      </w:r>
      <w:r w:rsidR="007B290E" w:rsidRPr="00663257">
        <w:rPr>
          <w:rFonts w:ascii="Arial" w:eastAsia="Calibri" w:hAnsi="Arial" w:cs="Arial"/>
          <w:b/>
          <w:sz w:val="23"/>
          <w:szCs w:val="23"/>
          <w:u w:val="single"/>
        </w:rPr>
        <w:t xml:space="preserve"> e legalidade</w:t>
      </w:r>
      <w:r w:rsidRPr="00663257">
        <w:rPr>
          <w:rFonts w:ascii="Arial" w:eastAsia="Calibri" w:hAnsi="Arial" w:cs="Arial"/>
          <w:b/>
          <w:sz w:val="23"/>
          <w:szCs w:val="23"/>
          <w:u w:val="single"/>
        </w:rPr>
        <w:t>:</w:t>
      </w:r>
      <w:r w:rsidRPr="00663257">
        <w:rPr>
          <w:rFonts w:ascii="Arial" w:eastAsia="Calibri" w:hAnsi="Arial" w:cs="Arial"/>
          <w:sz w:val="23"/>
          <w:szCs w:val="23"/>
        </w:rPr>
        <w:t xml:space="preserve"> </w:t>
      </w:r>
    </w:p>
    <w:p w:rsidR="0087544C" w:rsidRPr="00663257" w:rsidRDefault="0087544C" w:rsidP="00663257">
      <w:pPr>
        <w:spacing w:after="0" w:line="240" w:lineRule="auto"/>
        <w:ind w:firstLine="2268"/>
        <w:jc w:val="both"/>
        <w:rPr>
          <w:rFonts w:ascii="Arial" w:hAnsi="Arial" w:cs="Arial"/>
          <w:sz w:val="23"/>
          <w:szCs w:val="23"/>
        </w:rPr>
      </w:pPr>
      <w:r w:rsidRPr="00663257">
        <w:rPr>
          <w:rFonts w:ascii="Arial" w:hAnsi="Arial" w:cs="Arial"/>
          <w:sz w:val="23"/>
          <w:szCs w:val="23"/>
        </w:rPr>
        <w:t>Na Constituição Federal, art. 30, I, e o próprio art. 6º XXIV da Lei Orgânica, que possuem igual redação, respaldam juridicamente a proposição.</w:t>
      </w:r>
    </w:p>
    <w:p w:rsidR="0087544C" w:rsidRPr="00663257" w:rsidRDefault="0087544C" w:rsidP="00663257">
      <w:pPr>
        <w:spacing w:after="0" w:line="240" w:lineRule="auto"/>
        <w:ind w:firstLine="2268"/>
        <w:jc w:val="both"/>
        <w:rPr>
          <w:rFonts w:ascii="Arial" w:hAnsi="Arial" w:cs="Arial"/>
          <w:sz w:val="23"/>
          <w:szCs w:val="23"/>
        </w:rPr>
      </w:pPr>
      <w:r w:rsidRPr="00663257">
        <w:rPr>
          <w:rFonts w:ascii="Arial" w:hAnsi="Arial" w:cs="Arial"/>
          <w:sz w:val="23"/>
          <w:szCs w:val="23"/>
        </w:rPr>
        <w:t xml:space="preserve">Na lei Orgânica, o uso dos bens municipais por terceiros está assim disposto: </w:t>
      </w:r>
    </w:p>
    <w:p w:rsidR="0087544C" w:rsidRPr="00666BF8" w:rsidRDefault="0087544C" w:rsidP="00663257">
      <w:pPr>
        <w:spacing w:after="0" w:line="240" w:lineRule="auto"/>
        <w:ind w:left="1134" w:firstLine="2268"/>
        <w:jc w:val="both"/>
        <w:rPr>
          <w:rFonts w:ascii="Arial" w:hAnsi="Arial" w:cs="Arial"/>
          <w:i/>
          <w:szCs w:val="24"/>
        </w:rPr>
      </w:pPr>
      <w:proofErr w:type="gramStart"/>
      <w:r w:rsidRPr="00666BF8">
        <w:rPr>
          <w:rFonts w:ascii="Arial" w:hAnsi="Arial" w:cs="Arial"/>
          <w:i/>
          <w:szCs w:val="24"/>
        </w:rPr>
        <w:lastRenderedPageBreak/>
        <w:t>“Art. 106.</w:t>
      </w:r>
      <w:proofErr w:type="gramEnd"/>
      <w:r w:rsidRPr="00666BF8">
        <w:rPr>
          <w:rFonts w:ascii="Arial" w:hAnsi="Arial" w:cs="Arial"/>
          <w:i/>
          <w:szCs w:val="24"/>
        </w:rPr>
        <w:t xml:space="preserve"> O uso dos bens municipais, por terceiros, poderá ser feito mediante concessão, permissão ou autorização, conforme o caso e o interesse público o exigir, observando-se: </w:t>
      </w:r>
    </w:p>
    <w:p w:rsidR="0087544C" w:rsidRPr="00666BF8" w:rsidRDefault="0087544C" w:rsidP="00663257">
      <w:pPr>
        <w:spacing w:after="0" w:line="240" w:lineRule="auto"/>
        <w:ind w:left="1134" w:firstLine="2268"/>
        <w:jc w:val="both"/>
        <w:rPr>
          <w:rFonts w:ascii="Arial" w:hAnsi="Arial" w:cs="Arial"/>
          <w:i/>
          <w:szCs w:val="24"/>
        </w:rPr>
      </w:pPr>
      <w:r w:rsidRPr="00666BF8">
        <w:rPr>
          <w:rFonts w:ascii="Arial" w:hAnsi="Arial" w:cs="Arial"/>
          <w:i/>
          <w:szCs w:val="24"/>
        </w:rPr>
        <w:t xml:space="preserve">I - a concessão administrativa dos bens públicos de uso especial e dominicais dependerá de autorização legislativa, e a concorrência far-se-á mediante contrato, </w:t>
      </w:r>
      <w:proofErr w:type="gramStart"/>
      <w:r w:rsidRPr="00666BF8">
        <w:rPr>
          <w:rFonts w:ascii="Arial" w:hAnsi="Arial" w:cs="Arial"/>
          <w:i/>
          <w:szCs w:val="24"/>
        </w:rPr>
        <w:t>sob pena</w:t>
      </w:r>
      <w:proofErr w:type="gramEnd"/>
      <w:r w:rsidRPr="00666BF8">
        <w:rPr>
          <w:rFonts w:ascii="Arial" w:hAnsi="Arial" w:cs="Arial"/>
          <w:i/>
          <w:szCs w:val="24"/>
        </w:rPr>
        <w:t xml:space="preserve"> de nulidade do ato. A concorrência poderá ser dispensada, mediante lei, quando o uso se destinar à concessionária de serviço público, a entidades assistenciais ou quando houver interesse público relevante, devidamente justificado; </w:t>
      </w:r>
    </w:p>
    <w:p w:rsidR="0087544C" w:rsidRPr="00666BF8" w:rsidRDefault="0087544C" w:rsidP="00663257">
      <w:pPr>
        <w:spacing w:after="0" w:line="240" w:lineRule="auto"/>
        <w:ind w:left="1134" w:firstLine="2268"/>
        <w:jc w:val="both"/>
        <w:rPr>
          <w:rFonts w:ascii="Arial" w:hAnsi="Arial" w:cs="Arial"/>
          <w:i/>
          <w:szCs w:val="24"/>
        </w:rPr>
      </w:pPr>
      <w:r w:rsidRPr="00666BF8">
        <w:rPr>
          <w:rFonts w:ascii="Arial" w:hAnsi="Arial" w:cs="Arial"/>
          <w:i/>
          <w:szCs w:val="24"/>
        </w:rPr>
        <w:t xml:space="preserve">II - a permissão de uso dos bens públicos de uso especial e dominicais será feita a título precário, por Decreto; </w:t>
      </w:r>
    </w:p>
    <w:p w:rsidR="0087544C" w:rsidRPr="00666BF8" w:rsidRDefault="0087544C" w:rsidP="00663257">
      <w:pPr>
        <w:spacing w:after="0" w:line="240" w:lineRule="auto"/>
        <w:ind w:left="1134" w:firstLine="2268"/>
        <w:jc w:val="both"/>
        <w:rPr>
          <w:rFonts w:ascii="Arial" w:hAnsi="Arial" w:cs="Arial"/>
          <w:i/>
          <w:szCs w:val="24"/>
        </w:rPr>
      </w:pPr>
      <w:proofErr w:type="gramStart"/>
      <w:r w:rsidRPr="00666BF8">
        <w:rPr>
          <w:rFonts w:ascii="Arial" w:hAnsi="Arial" w:cs="Arial"/>
          <w:i/>
          <w:szCs w:val="24"/>
        </w:rPr>
        <w:t>III - a autorização, que poderá incidir sobre qualquer bem público, será feita a título precário, por Portaria, e não poderá ultrapassar a trinta dias, prorrogáveis uma única vez por igual período”</w:t>
      </w:r>
      <w:proofErr w:type="gramEnd"/>
      <w:r w:rsidRPr="00666BF8">
        <w:rPr>
          <w:rFonts w:ascii="Arial" w:hAnsi="Arial" w:cs="Arial"/>
          <w:i/>
          <w:szCs w:val="24"/>
        </w:rPr>
        <w:t xml:space="preserve">. </w:t>
      </w:r>
    </w:p>
    <w:p w:rsidR="0087544C" w:rsidRDefault="0087544C" w:rsidP="007B2FDD">
      <w:pPr>
        <w:spacing w:after="0" w:line="276" w:lineRule="auto"/>
        <w:ind w:firstLine="2268"/>
        <w:jc w:val="both"/>
        <w:rPr>
          <w:rFonts w:ascii="Arial" w:hAnsi="Arial" w:cs="Arial"/>
          <w:sz w:val="24"/>
          <w:szCs w:val="24"/>
        </w:rPr>
      </w:pPr>
    </w:p>
    <w:p w:rsidR="00884F96" w:rsidRPr="00663257" w:rsidRDefault="0087544C" w:rsidP="00663257">
      <w:pPr>
        <w:spacing w:after="0" w:line="240" w:lineRule="auto"/>
        <w:ind w:firstLine="2268"/>
        <w:jc w:val="both"/>
        <w:rPr>
          <w:rFonts w:ascii="Arial" w:hAnsi="Arial" w:cs="Arial"/>
          <w:sz w:val="23"/>
          <w:szCs w:val="23"/>
        </w:rPr>
      </w:pPr>
      <w:r w:rsidRPr="00663257">
        <w:rPr>
          <w:rFonts w:ascii="Arial" w:hAnsi="Arial" w:cs="Arial"/>
          <w:sz w:val="23"/>
          <w:szCs w:val="23"/>
        </w:rPr>
        <w:t xml:space="preserve">Diante do exposto, amparado pela legalidade o Chefe do Poder Executivo </w:t>
      </w:r>
      <w:r w:rsidR="00666BF8" w:rsidRPr="00663257">
        <w:rPr>
          <w:rFonts w:ascii="Arial" w:hAnsi="Arial" w:cs="Arial"/>
          <w:sz w:val="23"/>
          <w:szCs w:val="23"/>
        </w:rPr>
        <w:t xml:space="preserve">pode </w:t>
      </w:r>
      <w:r w:rsidRPr="00663257">
        <w:rPr>
          <w:rFonts w:ascii="Arial" w:hAnsi="Arial" w:cs="Arial"/>
          <w:sz w:val="23"/>
          <w:szCs w:val="23"/>
        </w:rPr>
        <w:t>dispor o uso dos bens públicos próprios</w:t>
      </w:r>
      <w:r w:rsidR="00F059AB" w:rsidRPr="00663257">
        <w:rPr>
          <w:rFonts w:ascii="Arial" w:hAnsi="Arial" w:cs="Arial"/>
          <w:sz w:val="23"/>
          <w:szCs w:val="23"/>
        </w:rPr>
        <w:t xml:space="preserve"> </w:t>
      </w:r>
      <w:r w:rsidRPr="00663257">
        <w:rPr>
          <w:rFonts w:ascii="Arial" w:hAnsi="Arial" w:cs="Arial"/>
          <w:sz w:val="23"/>
          <w:szCs w:val="23"/>
        </w:rPr>
        <w:t xml:space="preserve">regulamentando as condições para sua utilização, na forma da lei. </w:t>
      </w:r>
    </w:p>
    <w:p w:rsidR="00F059AB" w:rsidRPr="00663257" w:rsidRDefault="00F059AB" w:rsidP="00663257">
      <w:pPr>
        <w:spacing w:after="0" w:line="240" w:lineRule="auto"/>
        <w:ind w:firstLine="2268"/>
        <w:jc w:val="both"/>
        <w:rPr>
          <w:rFonts w:ascii="Arial" w:hAnsi="Arial" w:cs="Arial"/>
          <w:sz w:val="23"/>
          <w:szCs w:val="23"/>
        </w:rPr>
      </w:pPr>
    </w:p>
    <w:p w:rsidR="00663257" w:rsidRPr="00663257" w:rsidRDefault="00663257" w:rsidP="00663257">
      <w:pPr>
        <w:spacing w:after="0" w:line="240" w:lineRule="auto"/>
        <w:ind w:firstLine="2268"/>
        <w:jc w:val="both"/>
        <w:rPr>
          <w:rFonts w:ascii="Arial" w:hAnsi="Arial" w:cs="Arial"/>
          <w:sz w:val="23"/>
          <w:szCs w:val="23"/>
        </w:rPr>
      </w:pPr>
      <w:r w:rsidRPr="00663257">
        <w:rPr>
          <w:rFonts w:ascii="Arial" w:hAnsi="Arial" w:cs="Arial"/>
          <w:sz w:val="23"/>
          <w:szCs w:val="23"/>
        </w:rPr>
        <w:t xml:space="preserve">Quanto às alterações propostas no PL, há que se transcrever na íntegra o Parecer Jurídico proferido pela Procuradora Geral da Casa, vez que ilustra a situação fática existente na Rua Coberta: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A exigência de processo licitatório como dispõe o texto original da Lei, ainda que esta seja a regra para exploração de bens públicos por terceiros, no caso concreto não é factível, em razão de que a própria lei que cria os módulos da Rua Coberta estabelece a possibilidade de uso destes módulos públicos apenas pelos estabelecimentos frontais aos mesmos, ou, em caso de não interesse por estes, extensiva somente aos estabelecimentos </w:t>
      </w:r>
      <w:proofErr w:type="spellStart"/>
      <w:r w:rsidRPr="00663257">
        <w:rPr>
          <w:rFonts w:ascii="Arial" w:hAnsi="Arial" w:cs="Arial"/>
          <w:sz w:val="20"/>
          <w:szCs w:val="24"/>
        </w:rPr>
        <w:t>lindeiros</w:t>
      </w:r>
      <w:proofErr w:type="spellEnd"/>
      <w:r w:rsidRPr="00663257">
        <w:rPr>
          <w:rFonts w:ascii="Arial" w:hAnsi="Arial" w:cs="Arial"/>
          <w:sz w:val="20"/>
          <w:szCs w:val="24"/>
        </w:rPr>
        <w:t xml:space="preserve">, e ainda vedadas </w:t>
      </w:r>
      <w:proofErr w:type="gramStart"/>
      <w:r w:rsidRPr="00663257">
        <w:rPr>
          <w:rFonts w:ascii="Arial" w:hAnsi="Arial" w:cs="Arial"/>
          <w:sz w:val="20"/>
          <w:szCs w:val="24"/>
        </w:rPr>
        <w:t>a</w:t>
      </w:r>
      <w:proofErr w:type="gramEnd"/>
      <w:r w:rsidRPr="00663257">
        <w:rPr>
          <w:rFonts w:ascii="Arial" w:hAnsi="Arial" w:cs="Arial"/>
          <w:sz w:val="20"/>
          <w:szCs w:val="24"/>
        </w:rPr>
        <w:t xml:space="preserve"> utilização por atividades estranhas à gastronomia.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Portanto, não há como exigir competição para escolha dos interessados, uma vez que apenas os estabelecimentos localizados diretamente em frente aos módulos podem usufruí-los. Tal disposição é compreendida quando se trata de atividade de gastronomia, vez que a manipulação de alimentos só pode ocorrer em cozinhas devidamente estruturadas e localizadas nos estabelecimentos frontais aos módulos, por todas as questões e exigências da vigilância sanitária.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Destarte, a inexigibilidade de licitação neste caso nos parece acertada, porquanto não há possibilidade de competição na via tradicional de licitação, como constava do texto original </w:t>
      </w:r>
      <w:proofErr w:type="gramStart"/>
      <w:r w:rsidRPr="00663257">
        <w:rPr>
          <w:rFonts w:ascii="Arial" w:hAnsi="Arial" w:cs="Arial"/>
          <w:sz w:val="20"/>
          <w:szCs w:val="24"/>
        </w:rPr>
        <w:t>da presente</w:t>
      </w:r>
      <w:proofErr w:type="gramEnd"/>
      <w:r w:rsidRPr="00663257">
        <w:rPr>
          <w:rFonts w:ascii="Arial" w:hAnsi="Arial" w:cs="Arial"/>
          <w:sz w:val="20"/>
          <w:szCs w:val="24"/>
        </w:rPr>
        <w:t xml:space="preserve"> Lei.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A alteração proposta no art. 3º, que trata da destinação dos módulos, originalmente previa “destinam-se, exclusivamente, à instalação de mesas e cadeiras a serem utilizadas pelos estabelecimentos comerciais (restaurantes, cafeterias e congêneres) (...) e licenciados pela autoridade municipal, recebe na alteração deste PL para </w:t>
      </w:r>
      <w:proofErr w:type="gramStart"/>
      <w:r w:rsidRPr="00663257">
        <w:rPr>
          <w:rFonts w:ascii="Arial" w:hAnsi="Arial" w:cs="Arial"/>
          <w:sz w:val="20"/>
          <w:szCs w:val="24"/>
        </w:rPr>
        <w:t>“destinam-se, exclusivamente, ao uso de estabelecimentos comerciais, no ramo da gastronomia (...) e com projeto arquitetônico aprovado pela autoridade municipal.</w:t>
      </w:r>
      <w:proofErr w:type="gramEnd"/>
      <w:r w:rsidRPr="00663257">
        <w:rPr>
          <w:rFonts w:ascii="Arial" w:hAnsi="Arial" w:cs="Arial"/>
          <w:sz w:val="20"/>
          <w:szCs w:val="24"/>
        </w:rPr>
        <w:t xml:space="preserve"> </w:t>
      </w:r>
    </w:p>
    <w:p w:rsidR="00F059AB"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Observamos que ao longo dos últimos anos, os estabelecimentos gastronômicos licenciados na Rua Coberta, que também são permissionários dos módulos, foram adaptando suas estruturas, não tendo mais, exclusivamente, mesas e cadeiras nas suas atividades. Um bom exemplo disso é o módulo que serve pipocas e sorvetes, e tem um balcão no entorno do módulo, não dispondo de “mesas e cadeiras”. Outro ainda é o módulo que serve pizzas, que também tem uma estrutura mista, e não mais se define como “mesas e cadeiras”. Nem por isso a Rua Coberta perdeu a sua essência, tampouco se afastou das suas premissas, que é um centro de lazer e gastronomia, sempre sob o vigilante controle e fiscalização do Poder Público, que exige, previamente, projeto arquitetônico quando o permissionário pretender instalar estrutura diversa da tradicional.</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Também foi incluído o § 1º no art. 3º, que trata da vedação para manipulação e produção de alimentos nos módulos.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Esta questão, ainda que já fosse uma exigência da vigilância sanitária quando da liberação do respectivo alvará sanitário, reforça uma preocupação da administração municipal quando à segurança ao consumidor, o que sempre é oportuno.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Assim, nos parece que estas alterações </w:t>
      </w:r>
      <w:proofErr w:type="gramStart"/>
      <w:r w:rsidRPr="00663257">
        <w:rPr>
          <w:rFonts w:ascii="Arial" w:hAnsi="Arial" w:cs="Arial"/>
          <w:sz w:val="20"/>
          <w:szCs w:val="24"/>
        </w:rPr>
        <w:t>vem</w:t>
      </w:r>
      <w:proofErr w:type="gramEnd"/>
      <w:r w:rsidRPr="00663257">
        <w:rPr>
          <w:rFonts w:ascii="Arial" w:hAnsi="Arial" w:cs="Arial"/>
          <w:sz w:val="20"/>
          <w:szCs w:val="24"/>
        </w:rPr>
        <w:t xml:space="preserve"> de encontro a uma situação fática já existente, cuja adequação do texto legal entendemos indicada.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No art. 8º, a alteração visa atender uma antiga demanda dos estabelecimentos, vez que o texto original da Lei define as relações contratuais do município apenas para com os proprietários dos imóveis (prédios), ignorando os locatários dos mesmos, que na prática, são os verdadeiros permissionários, uma vez que são estes os donos dos estabelecimentos gastronômicos localizados nos prédios da Rua Coberta. Essa questão foi assim tratada na concepção original da Lei, para dar garantias ao município quanto aos créditos provenientes das permissões, que na falta de pagamento, vinculavam a dívida ao proprietário do imóvel.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 xml:space="preserve">Esta questão, entretanto, sempre foi um obstáculo aos donos dos estabelecimentos gastronômicos, que regra geral, não </w:t>
      </w:r>
      <w:proofErr w:type="gramStart"/>
      <w:r w:rsidRPr="00663257">
        <w:rPr>
          <w:rFonts w:ascii="Arial" w:hAnsi="Arial" w:cs="Arial"/>
          <w:sz w:val="20"/>
          <w:szCs w:val="24"/>
        </w:rPr>
        <w:t>são</w:t>
      </w:r>
      <w:proofErr w:type="gramEnd"/>
      <w:r w:rsidRPr="00663257">
        <w:rPr>
          <w:rFonts w:ascii="Arial" w:hAnsi="Arial" w:cs="Arial"/>
          <w:sz w:val="20"/>
          <w:szCs w:val="24"/>
        </w:rPr>
        <w:t xml:space="preserve"> os donos dos prédios, gerando transtornos e até mesmo constrangimentos entre os mesmos. Assim, o município encontra no novo texto proposto neste PL, a possibilidade do contrato de permissão ser firmado com o locatário, com a anuência do proprietário ou, na falta desta, com apresentação de hipoteca legal. Ou seja, garante seus créditos e abre a possibilidade de firmar contrato com os verdadeiros permissionários dos módulos, o que nos parece uma alternativa de solução. </w:t>
      </w:r>
    </w:p>
    <w:p w:rsidR="00663257" w:rsidRPr="00663257" w:rsidRDefault="00663257" w:rsidP="00663257">
      <w:pPr>
        <w:spacing w:after="0" w:line="240" w:lineRule="auto"/>
        <w:ind w:left="1701" w:firstLine="1134"/>
        <w:jc w:val="both"/>
        <w:rPr>
          <w:rFonts w:ascii="Arial" w:hAnsi="Arial" w:cs="Arial"/>
          <w:sz w:val="20"/>
          <w:szCs w:val="24"/>
        </w:rPr>
      </w:pPr>
      <w:r w:rsidRPr="00663257">
        <w:rPr>
          <w:rFonts w:ascii="Arial" w:hAnsi="Arial" w:cs="Arial"/>
          <w:sz w:val="20"/>
          <w:szCs w:val="24"/>
        </w:rPr>
        <w:t>Dessa forma, não há óbice às alterações propostas, e da forma que se apresentam.</w:t>
      </w:r>
    </w:p>
    <w:p w:rsidR="00F059AB" w:rsidRDefault="00F059AB" w:rsidP="007B2FDD">
      <w:pPr>
        <w:spacing w:after="0" w:line="276" w:lineRule="auto"/>
        <w:ind w:firstLine="2268"/>
        <w:jc w:val="both"/>
        <w:rPr>
          <w:rFonts w:ascii="Arial" w:hAnsi="Arial" w:cs="Arial"/>
          <w:sz w:val="24"/>
          <w:szCs w:val="24"/>
        </w:rPr>
      </w:pPr>
    </w:p>
    <w:p w:rsidR="0087544C" w:rsidRPr="00663257" w:rsidRDefault="00F05D17" w:rsidP="00663257">
      <w:pPr>
        <w:spacing w:line="240" w:lineRule="auto"/>
        <w:ind w:firstLine="2268"/>
        <w:jc w:val="both"/>
        <w:rPr>
          <w:rFonts w:ascii="Arial" w:hAnsi="Arial" w:cs="Arial"/>
          <w:sz w:val="23"/>
          <w:szCs w:val="23"/>
        </w:rPr>
      </w:pPr>
      <w:r w:rsidRPr="00663257">
        <w:rPr>
          <w:rFonts w:ascii="Arial" w:eastAsia="Calibri" w:hAnsi="Arial" w:cs="Arial"/>
          <w:sz w:val="23"/>
          <w:szCs w:val="23"/>
        </w:rPr>
        <w:t xml:space="preserve">Quanto à </w:t>
      </w:r>
      <w:r w:rsidRPr="00663257">
        <w:rPr>
          <w:rFonts w:ascii="Arial" w:eastAsia="Calibri" w:hAnsi="Arial" w:cs="Arial"/>
          <w:b/>
          <w:sz w:val="23"/>
          <w:szCs w:val="23"/>
          <w:u w:val="single"/>
        </w:rPr>
        <w:t>iniciativa</w:t>
      </w:r>
      <w:r w:rsidRPr="00663257">
        <w:rPr>
          <w:rFonts w:ascii="Arial" w:eastAsia="Calibri" w:hAnsi="Arial" w:cs="Arial"/>
          <w:b/>
          <w:sz w:val="23"/>
          <w:szCs w:val="23"/>
        </w:rPr>
        <w:t xml:space="preserve"> </w:t>
      </w:r>
      <w:r w:rsidRPr="00663257">
        <w:rPr>
          <w:rFonts w:ascii="Arial" w:eastAsia="Calibri" w:hAnsi="Arial" w:cs="Arial"/>
          <w:sz w:val="23"/>
          <w:szCs w:val="23"/>
        </w:rPr>
        <w:t xml:space="preserve">para deflagrar o processo </w:t>
      </w:r>
      <w:r w:rsidR="00B420B2" w:rsidRPr="00663257">
        <w:rPr>
          <w:rFonts w:ascii="Arial" w:hAnsi="Arial" w:cs="Arial"/>
          <w:sz w:val="23"/>
          <w:szCs w:val="23"/>
        </w:rPr>
        <w:t xml:space="preserve">que versa sobre a </w:t>
      </w:r>
      <w:r w:rsidR="006939D0" w:rsidRPr="00663257">
        <w:rPr>
          <w:rFonts w:ascii="Arial" w:hAnsi="Arial" w:cs="Arial"/>
          <w:sz w:val="23"/>
          <w:szCs w:val="23"/>
        </w:rPr>
        <w:t xml:space="preserve">composição do </w:t>
      </w:r>
      <w:r w:rsidR="006939D0" w:rsidRPr="00663257">
        <w:rPr>
          <w:rFonts w:ascii="Arial" w:eastAsia="Calibri" w:hAnsi="Arial" w:cs="Arial"/>
          <w:sz w:val="23"/>
          <w:szCs w:val="23"/>
        </w:rPr>
        <w:t>Conselho Municipal de Segurança Pública, Trânsito e Mobilidade Urbana</w:t>
      </w:r>
      <w:r w:rsidR="00A166A1" w:rsidRPr="00663257">
        <w:rPr>
          <w:rFonts w:ascii="Arial" w:hAnsi="Arial" w:cs="Arial"/>
          <w:sz w:val="23"/>
          <w:szCs w:val="23"/>
        </w:rPr>
        <w:t>, verifica-se que a Lei Orgânica, em seu artigo 60</w:t>
      </w:r>
      <w:r w:rsidR="0087544C" w:rsidRPr="00663257">
        <w:rPr>
          <w:rFonts w:ascii="Arial" w:hAnsi="Arial" w:cs="Arial"/>
          <w:sz w:val="23"/>
          <w:szCs w:val="23"/>
        </w:rPr>
        <w:t xml:space="preserve">, </w:t>
      </w:r>
      <w:proofErr w:type="gramStart"/>
      <w:r w:rsidR="006939D0" w:rsidRPr="00663257">
        <w:rPr>
          <w:rFonts w:ascii="Arial" w:hAnsi="Arial" w:cs="Arial"/>
          <w:sz w:val="23"/>
          <w:szCs w:val="23"/>
        </w:rPr>
        <w:t>V</w:t>
      </w:r>
      <w:r w:rsidR="0087544C" w:rsidRPr="00663257">
        <w:rPr>
          <w:rFonts w:ascii="Arial" w:hAnsi="Arial" w:cs="Arial"/>
          <w:sz w:val="23"/>
          <w:szCs w:val="23"/>
        </w:rPr>
        <w:t>I</w:t>
      </w:r>
      <w:proofErr w:type="gramEnd"/>
      <w:r w:rsidR="00A166A1" w:rsidRPr="00663257">
        <w:rPr>
          <w:rFonts w:ascii="Arial" w:hAnsi="Arial" w:cs="Arial"/>
          <w:sz w:val="23"/>
          <w:szCs w:val="23"/>
        </w:rPr>
        <w:t xml:space="preserve"> prevê tal competência privativamente ao Prefeito Municipal e ainda, em seu art. 6º, </w:t>
      </w:r>
      <w:r w:rsidR="00F059AB" w:rsidRPr="00663257">
        <w:rPr>
          <w:rFonts w:ascii="Arial" w:hAnsi="Arial" w:cs="Arial"/>
          <w:sz w:val="23"/>
          <w:szCs w:val="23"/>
        </w:rPr>
        <w:t xml:space="preserve">I, </w:t>
      </w:r>
      <w:r w:rsidR="006939D0" w:rsidRPr="00663257">
        <w:rPr>
          <w:rFonts w:ascii="Arial" w:hAnsi="Arial" w:cs="Arial"/>
          <w:sz w:val="23"/>
          <w:szCs w:val="23"/>
        </w:rPr>
        <w:t>III</w:t>
      </w:r>
      <w:r w:rsidR="00884F96" w:rsidRPr="00663257">
        <w:rPr>
          <w:rFonts w:ascii="Arial" w:hAnsi="Arial" w:cs="Arial"/>
          <w:sz w:val="23"/>
          <w:szCs w:val="23"/>
        </w:rPr>
        <w:t xml:space="preserve">, prevê que compete ao Município, no exercício de sua autonomia organizar-se administrativamente, bem como </w:t>
      </w:r>
      <w:r w:rsidR="00F059AB" w:rsidRPr="00663257">
        <w:rPr>
          <w:rFonts w:ascii="Arial" w:hAnsi="Arial" w:cs="Arial"/>
          <w:sz w:val="23"/>
          <w:szCs w:val="23"/>
        </w:rPr>
        <w:t>administrar seus bens. Ainda, o art. 102, da Lei Orgânica estabelece que a competência para administrar os bens municipais é do Poder Executivo.</w:t>
      </w:r>
    </w:p>
    <w:p w:rsidR="00A166A1" w:rsidRPr="00663257" w:rsidRDefault="0087544C" w:rsidP="00663257">
      <w:pPr>
        <w:spacing w:line="240" w:lineRule="auto"/>
        <w:ind w:firstLine="2268"/>
        <w:jc w:val="both"/>
        <w:rPr>
          <w:rFonts w:ascii="Arial" w:hAnsi="Arial" w:cs="Arial"/>
          <w:sz w:val="23"/>
          <w:szCs w:val="23"/>
        </w:rPr>
      </w:pPr>
      <w:r w:rsidRPr="00663257">
        <w:rPr>
          <w:rFonts w:ascii="Arial" w:hAnsi="Arial" w:cs="Arial"/>
          <w:sz w:val="23"/>
          <w:szCs w:val="23"/>
        </w:rPr>
        <w:t>A Constituição do Estado do Rio Grande do Sul, em seu art. 13, IV, respalda a competência para realização de tal ato</w:t>
      </w:r>
      <w:r w:rsidR="00884F96" w:rsidRPr="00663257">
        <w:rPr>
          <w:rFonts w:ascii="Arial" w:hAnsi="Arial" w:cs="Arial"/>
          <w:sz w:val="23"/>
          <w:szCs w:val="23"/>
        </w:rPr>
        <w:t>.</w:t>
      </w:r>
      <w:r w:rsidR="00A166A1" w:rsidRPr="00663257">
        <w:rPr>
          <w:rFonts w:ascii="Arial" w:hAnsi="Arial" w:cs="Arial"/>
          <w:sz w:val="23"/>
          <w:szCs w:val="23"/>
        </w:rPr>
        <w:t xml:space="preserve"> </w:t>
      </w:r>
    </w:p>
    <w:p w:rsidR="00B420B2" w:rsidRPr="00663257" w:rsidRDefault="00B420B2" w:rsidP="00663257">
      <w:pPr>
        <w:spacing w:line="240" w:lineRule="auto"/>
        <w:ind w:firstLine="2268"/>
        <w:jc w:val="both"/>
        <w:rPr>
          <w:rFonts w:ascii="Arial" w:hAnsi="Arial" w:cs="Arial"/>
          <w:sz w:val="23"/>
          <w:szCs w:val="23"/>
        </w:rPr>
      </w:pPr>
      <w:r w:rsidRPr="00663257">
        <w:rPr>
          <w:rFonts w:ascii="Arial" w:hAnsi="Arial" w:cs="Arial"/>
          <w:sz w:val="23"/>
          <w:szCs w:val="23"/>
        </w:rPr>
        <w:t xml:space="preserve">Assim, o presente PL encontra-se em conformidade com as normas legais vigentes, por ser de competência do Município normatização sobre a organização e o funcionamento da administração municipal, entre as quais a criação de cargos públicos e a contratação temporária, quando a mesma se justificar, </w:t>
      </w:r>
      <w:r w:rsidRPr="00663257">
        <w:rPr>
          <w:rFonts w:ascii="Arial" w:hAnsi="Arial" w:cs="Arial"/>
          <w:b/>
          <w:sz w:val="23"/>
          <w:szCs w:val="23"/>
        </w:rPr>
        <w:t>NÃO</w:t>
      </w:r>
      <w:r w:rsidRPr="00663257">
        <w:rPr>
          <w:rFonts w:ascii="Arial" w:hAnsi="Arial" w:cs="Arial"/>
          <w:sz w:val="23"/>
          <w:szCs w:val="23"/>
        </w:rPr>
        <w:t xml:space="preserve"> se registrando, desta forma, qualquer vício de origem </w:t>
      </w:r>
      <w:proofErr w:type="gramStart"/>
      <w:r w:rsidRPr="00663257">
        <w:rPr>
          <w:rFonts w:ascii="Arial" w:hAnsi="Arial" w:cs="Arial"/>
          <w:sz w:val="23"/>
          <w:szCs w:val="23"/>
        </w:rPr>
        <w:t>na presente</w:t>
      </w:r>
      <w:proofErr w:type="gramEnd"/>
      <w:r w:rsidRPr="00663257">
        <w:rPr>
          <w:rFonts w:ascii="Arial" w:hAnsi="Arial" w:cs="Arial"/>
          <w:sz w:val="23"/>
          <w:szCs w:val="23"/>
        </w:rPr>
        <w:t xml:space="preserve"> propositura, nos termos do art. 61, § 1º, II, “a”, da Constituição Federal, aplicado por simetria.</w:t>
      </w:r>
    </w:p>
    <w:p w:rsidR="00B420B2" w:rsidRPr="00663257" w:rsidRDefault="00B420B2" w:rsidP="00663257">
      <w:pPr>
        <w:spacing w:line="240" w:lineRule="auto"/>
        <w:ind w:firstLine="2268"/>
        <w:jc w:val="both"/>
        <w:rPr>
          <w:rFonts w:ascii="Arial" w:hAnsi="Arial" w:cs="Arial"/>
          <w:sz w:val="23"/>
          <w:szCs w:val="23"/>
        </w:rPr>
      </w:pPr>
      <w:r w:rsidRPr="00663257">
        <w:rPr>
          <w:rFonts w:ascii="Arial" w:hAnsi="Arial" w:cs="Arial"/>
          <w:sz w:val="23"/>
          <w:szCs w:val="23"/>
        </w:rPr>
        <w:t xml:space="preserve">Pelo exposto, entendemos ser cabível ao Chefe do Poder Executivo iniciar o processo legislativo nos termos apresentados. </w:t>
      </w:r>
    </w:p>
    <w:p w:rsidR="00A166A1" w:rsidRPr="00663257" w:rsidRDefault="00F05D17" w:rsidP="00663257">
      <w:pPr>
        <w:tabs>
          <w:tab w:val="left" w:pos="2268"/>
          <w:tab w:val="left" w:pos="5059"/>
        </w:tabs>
        <w:spacing w:line="240" w:lineRule="auto"/>
        <w:jc w:val="both"/>
        <w:rPr>
          <w:rFonts w:ascii="Arial" w:eastAsia="Calibri" w:hAnsi="Arial" w:cs="Arial"/>
          <w:sz w:val="23"/>
          <w:szCs w:val="23"/>
        </w:rPr>
      </w:pPr>
      <w:r w:rsidRPr="00663257">
        <w:rPr>
          <w:rFonts w:ascii="Arial" w:eastAsia="Calibri" w:hAnsi="Arial" w:cs="Arial"/>
          <w:sz w:val="23"/>
          <w:szCs w:val="23"/>
        </w:rPr>
        <w:tab/>
      </w:r>
    </w:p>
    <w:p w:rsidR="00EE753B" w:rsidRPr="00663257" w:rsidRDefault="00F05D17" w:rsidP="00663257">
      <w:pPr>
        <w:tabs>
          <w:tab w:val="left" w:pos="2268"/>
          <w:tab w:val="left" w:pos="5059"/>
        </w:tabs>
        <w:spacing w:line="240" w:lineRule="auto"/>
        <w:ind w:firstLine="2268"/>
        <w:jc w:val="both"/>
        <w:rPr>
          <w:rFonts w:ascii="Arial" w:eastAsia="Calibri" w:hAnsi="Arial" w:cs="Arial"/>
          <w:sz w:val="23"/>
          <w:szCs w:val="23"/>
        </w:rPr>
      </w:pPr>
      <w:r w:rsidRPr="00663257">
        <w:rPr>
          <w:rFonts w:ascii="Arial" w:eastAsia="Calibri" w:hAnsi="Arial" w:cs="Arial"/>
          <w:sz w:val="23"/>
          <w:szCs w:val="23"/>
        </w:rPr>
        <w:t xml:space="preserve">Em relação à </w:t>
      </w:r>
      <w:r w:rsidRPr="00663257">
        <w:rPr>
          <w:rFonts w:ascii="Arial" w:eastAsia="Calibri" w:hAnsi="Arial" w:cs="Arial"/>
          <w:b/>
          <w:sz w:val="23"/>
          <w:szCs w:val="23"/>
          <w:u w:val="single"/>
        </w:rPr>
        <w:t>técnica legislativa</w:t>
      </w:r>
      <w:r w:rsidRPr="00663257">
        <w:rPr>
          <w:rFonts w:ascii="Arial" w:eastAsia="Calibri" w:hAnsi="Arial" w:cs="Arial"/>
          <w:sz w:val="23"/>
          <w:szCs w:val="23"/>
        </w:rPr>
        <w:t xml:space="preserve">, </w:t>
      </w:r>
      <w:r w:rsidR="00EE753B" w:rsidRPr="00663257">
        <w:rPr>
          <w:rFonts w:ascii="Arial" w:eastAsia="Calibri" w:hAnsi="Arial" w:cs="Arial"/>
          <w:sz w:val="23"/>
          <w:szCs w:val="23"/>
        </w:rPr>
        <w:t xml:space="preserve">a uniformidade que requer o ordenamento jurídico não </w:t>
      </w:r>
      <w:proofErr w:type="gramStart"/>
      <w:r w:rsidR="00EE753B" w:rsidRPr="00663257">
        <w:rPr>
          <w:rFonts w:ascii="Arial" w:eastAsia="Calibri" w:hAnsi="Arial" w:cs="Arial"/>
          <w:sz w:val="23"/>
          <w:szCs w:val="23"/>
        </w:rPr>
        <w:t>permite,</w:t>
      </w:r>
      <w:proofErr w:type="gramEnd"/>
      <w:r w:rsidR="00EE753B" w:rsidRPr="00663257">
        <w:rPr>
          <w:rFonts w:ascii="Arial" w:eastAsia="Calibri" w:hAnsi="Arial" w:cs="Arial"/>
          <w:sz w:val="23"/>
          <w:szCs w:val="23"/>
        </w:rPr>
        <w:t xml:space="preserve"> no que concerne à forma, a plena liberdade ao </w:t>
      </w:r>
      <w:r w:rsidR="00EE753B" w:rsidRPr="00663257">
        <w:rPr>
          <w:rFonts w:ascii="Arial" w:eastAsia="Calibri" w:hAnsi="Arial" w:cs="Arial"/>
          <w:sz w:val="23"/>
          <w:szCs w:val="23"/>
        </w:rPr>
        <w:lastRenderedPageBreak/>
        <w:t>legislador para alterar as leis. Assim, sempre que for deflagrado o processo legislativo, deve-se manter certo padrão, não sendo admitida a criação de estrutura destoante ou símbolos gráficos diversos daqueles comumente utilizados no processo de elaboração dos atos normativos.</w:t>
      </w:r>
    </w:p>
    <w:p w:rsidR="004E2FDE" w:rsidRPr="00663257" w:rsidRDefault="004E2FDE" w:rsidP="00663257">
      <w:pPr>
        <w:tabs>
          <w:tab w:val="left" w:pos="1701"/>
          <w:tab w:val="left" w:pos="5059"/>
        </w:tabs>
        <w:spacing w:line="240" w:lineRule="auto"/>
        <w:ind w:firstLine="1701"/>
        <w:jc w:val="both"/>
        <w:rPr>
          <w:rFonts w:ascii="Arial" w:eastAsia="Calibri" w:hAnsi="Arial" w:cs="Arial"/>
          <w:sz w:val="23"/>
          <w:szCs w:val="23"/>
        </w:rPr>
      </w:pPr>
      <w:r w:rsidRPr="00663257">
        <w:rPr>
          <w:rFonts w:ascii="Arial" w:eastAsia="Calibri" w:hAnsi="Arial" w:cs="Arial"/>
          <w:sz w:val="23"/>
          <w:szCs w:val="23"/>
        </w:rPr>
        <w:t xml:space="preserve">Destarte, para que o processo legislativo possa ter a qualidade exigida pelos cidadãos, necessário que seja tecnicamente adequado. A Constituição Federal previu em seu artigo 59, parágrafo único, que  </w:t>
      </w:r>
      <w:proofErr w:type="gramStart"/>
      <w:r w:rsidRPr="00663257">
        <w:rPr>
          <w:rFonts w:ascii="Arial" w:eastAsia="Calibri" w:hAnsi="Arial" w:cs="Arial"/>
          <w:sz w:val="23"/>
          <w:szCs w:val="23"/>
        </w:rPr>
        <w:t>disporá</w:t>
      </w:r>
      <w:proofErr w:type="gramEnd"/>
      <w:r w:rsidRPr="00663257">
        <w:rPr>
          <w:rFonts w:ascii="Arial" w:eastAsia="Calibri" w:hAnsi="Arial" w:cs="Arial"/>
          <w:sz w:val="23"/>
          <w:szCs w:val="23"/>
        </w:rPr>
        <w:t xml:space="preserve"> sobre a elaboração, redação, alteração e consolidação das leis, normatizado através da Lei Complementar nº 95/1998. </w:t>
      </w:r>
    </w:p>
    <w:p w:rsidR="004E2FDE" w:rsidRPr="00663257" w:rsidRDefault="004E2FDE" w:rsidP="00663257">
      <w:pPr>
        <w:tabs>
          <w:tab w:val="left" w:pos="1701"/>
          <w:tab w:val="left" w:pos="5059"/>
        </w:tabs>
        <w:spacing w:line="240" w:lineRule="auto"/>
        <w:ind w:firstLine="1701"/>
        <w:jc w:val="both"/>
        <w:rPr>
          <w:rFonts w:ascii="Arial" w:eastAsia="Calibri" w:hAnsi="Arial" w:cs="Arial"/>
          <w:sz w:val="23"/>
          <w:szCs w:val="23"/>
        </w:rPr>
      </w:pPr>
      <w:r w:rsidRPr="00663257">
        <w:rPr>
          <w:rFonts w:ascii="Arial" w:eastAsia="Calibri" w:hAnsi="Arial" w:cs="Arial"/>
          <w:sz w:val="23"/>
          <w:szCs w:val="23"/>
        </w:rPr>
        <w:t xml:space="preserve">Neste quesito, observamos que o presente PL </w:t>
      </w:r>
      <w:r w:rsidR="00B22729" w:rsidRPr="00663257">
        <w:rPr>
          <w:rFonts w:ascii="Arial" w:eastAsia="Calibri" w:hAnsi="Arial" w:cs="Arial"/>
          <w:sz w:val="23"/>
          <w:szCs w:val="23"/>
        </w:rPr>
        <w:t xml:space="preserve">atende as normas técnicas definidas na LC 95/98, apresentando formatação adequada, dentro das normas legais vigentes. </w:t>
      </w:r>
    </w:p>
    <w:p w:rsidR="00E748E8" w:rsidRPr="00663257" w:rsidRDefault="00E748E8" w:rsidP="00663257">
      <w:pPr>
        <w:tabs>
          <w:tab w:val="left" w:pos="1701"/>
          <w:tab w:val="left" w:pos="5059"/>
        </w:tabs>
        <w:spacing w:line="240" w:lineRule="auto"/>
        <w:ind w:firstLine="1701"/>
        <w:jc w:val="center"/>
        <w:rPr>
          <w:rFonts w:ascii="Arial" w:eastAsia="Calibri" w:hAnsi="Arial" w:cs="Arial"/>
          <w:b/>
          <w:sz w:val="23"/>
          <w:szCs w:val="23"/>
        </w:rPr>
      </w:pPr>
    </w:p>
    <w:p w:rsidR="00F05D17" w:rsidRPr="00663257" w:rsidRDefault="00F05D17" w:rsidP="00663257">
      <w:pPr>
        <w:tabs>
          <w:tab w:val="left" w:pos="1701"/>
          <w:tab w:val="left" w:pos="5059"/>
        </w:tabs>
        <w:spacing w:line="240" w:lineRule="auto"/>
        <w:ind w:firstLine="1701"/>
        <w:jc w:val="center"/>
        <w:rPr>
          <w:rFonts w:ascii="Arial" w:eastAsia="Calibri" w:hAnsi="Arial" w:cs="Arial"/>
          <w:b/>
          <w:sz w:val="23"/>
          <w:szCs w:val="23"/>
        </w:rPr>
      </w:pPr>
      <w:r w:rsidRPr="00663257">
        <w:rPr>
          <w:rFonts w:ascii="Arial" w:eastAsia="Calibri" w:hAnsi="Arial" w:cs="Arial"/>
          <w:b/>
          <w:sz w:val="23"/>
          <w:szCs w:val="23"/>
        </w:rPr>
        <w:t>Conclusão do Voto:</w:t>
      </w:r>
    </w:p>
    <w:p w:rsidR="00F05D17" w:rsidRPr="00663257" w:rsidRDefault="00F05D17" w:rsidP="00663257">
      <w:pPr>
        <w:tabs>
          <w:tab w:val="left" w:pos="1701"/>
          <w:tab w:val="left" w:pos="5059"/>
        </w:tabs>
        <w:spacing w:line="240" w:lineRule="auto"/>
        <w:jc w:val="both"/>
        <w:rPr>
          <w:rFonts w:ascii="Arial" w:eastAsia="Calibri" w:hAnsi="Arial" w:cs="Arial"/>
          <w:sz w:val="23"/>
          <w:szCs w:val="23"/>
        </w:rPr>
      </w:pPr>
      <w:r w:rsidRPr="00663257">
        <w:rPr>
          <w:rFonts w:ascii="Arial" w:eastAsia="Calibri" w:hAnsi="Arial" w:cs="Arial"/>
          <w:sz w:val="23"/>
          <w:szCs w:val="23"/>
        </w:rPr>
        <w:tab/>
        <w:t>Diante dos fundamentos legais e constitucionais expostos,</w:t>
      </w:r>
      <w:r w:rsidR="00E45270" w:rsidRPr="00663257">
        <w:rPr>
          <w:rFonts w:ascii="Arial" w:eastAsia="Calibri" w:hAnsi="Arial" w:cs="Arial"/>
          <w:sz w:val="23"/>
          <w:szCs w:val="23"/>
        </w:rPr>
        <w:t xml:space="preserve"> com fundamento no parecer jurídico da Procuradora Geral desta Casa</w:t>
      </w:r>
      <w:r w:rsidR="00954242" w:rsidRPr="00663257">
        <w:rPr>
          <w:rFonts w:ascii="Arial" w:eastAsia="Calibri" w:hAnsi="Arial" w:cs="Arial"/>
          <w:sz w:val="23"/>
          <w:szCs w:val="23"/>
        </w:rPr>
        <w:t xml:space="preserve">, </w:t>
      </w:r>
      <w:r w:rsidRPr="00663257">
        <w:rPr>
          <w:rFonts w:ascii="Arial" w:eastAsia="Calibri" w:hAnsi="Arial" w:cs="Arial"/>
          <w:sz w:val="23"/>
          <w:szCs w:val="23"/>
        </w:rPr>
        <w:t>esta Relatoria, depois de debate realizado na Comi</w:t>
      </w:r>
      <w:r w:rsidR="00DC1025" w:rsidRPr="00663257">
        <w:rPr>
          <w:rFonts w:ascii="Arial" w:eastAsia="Calibri" w:hAnsi="Arial" w:cs="Arial"/>
          <w:sz w:val="23"/>
          <w:szCs w:val="23"/>
        </w:rPr>
        <w:t>ssão, disponibiliza o presente v</w:t>
      </w:r>
      <w:r w:rsidRPr="00663257">
        <w:rPr>
          <w:rFonts w:ascii="Arial" w:eastAsia="Calibri" w:hAnsi="Arial" w:cs="Arial"/>
          <w:sz w:val="23"/>
          <w:szCs w:val="23"/>
        </w:rPr>
        <w:t>oto favorável à tramitação da matéria</w:t>
      </w:r>
      <w:r w:rsidR="004A11CF" w:rsidRPr="00663257">
        <w:rPr>
          <w:rFonts w:ascii="Arial" w:eastAsia="Calibri" w:hAnsi="Arial" w:cs="Arial"/>
          <w:sz w:val="23"/>
          <w:szCs w:val="23"/>
        </w:rPr>
        <w:t>.</w:t>
      </w:r>
    </w:p>
    <w:p w:rsidR="00884F96" w:rsidRPr="00663257" w:rsidRDefault="00F05D17" w:rsidP="00663257">
      <w:pPr>
        <w:tabs>
          <w:tab w:val="left" w:pos="1701"/>
          <w:tab w:val="left" w:pos="5059"/>
        </w:tabs>
        <w:spacing w:line="240" w:lineRule="auto"/>
        <w:jc w:val="both"/>
        <w:rPr>
          <w:rFonts w:ascii="Arial" w:eastAsia="Calibri" w:hAnsi="Arial" w:cs="Arial"/>
          <w:sz w:val="23"/>
          <w:szCs w:val="23"/>
        </w:rPr>
      </w:pPr>
      <w:r w:rsidRPr="00663257">
        <w:rPr>
          <w:rFonts w:ascii="Arial" w:eastAsia="Calibri" w:hAnsi="Arial" w:cs="Arial"/>
          <w:sz w:val="23"/>
          <w:szCs w:val="23"/>
        </w:rPr>
        <w:tab/>
      </w:r>
    </w:p>
    <w:p w:rsidR="00F05D17" w:rsidRPr="00663257" w:rsidRDefault="00F05D17" w:rsidP="00663257">
      <w:pPr>
        <w:tabs>
          <w:tab w:val="left" w:pos="1701"/>
          <w:tab w:val="left" w:pos="5059"/>
        </w:tabs>
        <w:spacing w:line="240" w:lineRule="auto"/>
        <w:ind w:firstLine="1701"/>
        <w:jc w:val="both"/>
        <w:rPr>
          <w:rFonts w:ascii="Arial" w:eastAsia="Calibri" w:hAnsi="Arial" w:cs="Arial"/>
          <w:sz w:val="23"/>
          <w:szCs w:val="23"/>
        </w:rPr>
      </w:pPr>
      <w:r w:rsidRPr="00663257">
        <w:rPr>
          <w:rFonts w:ascii="Arial" w:eastAsia="Calibri" w:hAnsi="Arial" w:cs="Arial"/>
          <w:sz w:val="23"/>
          <w:szCs w:val="23"/>
        </w:rPr>
        <w:t xml:space="preserve">Sala das Comissões, em </w:t>
      </w:r>
      <w:r w:rsidR="00DC1025" w:rsidRPr="00663257">
        <w:rPr>
          <w:rFonts w:ascii="Arial" w:eastAsia="Calibri" w:hAnsi="Arial" w:cs="Arial"/>
          <w:sz w:val="23"/>
          <w:szCs w:val="23"/>
        </w:rPr>
        <w:t>0</w:t>
      </w:r>
      <w:r w:rsidR="00884F96" w:rsidRPr="00663257">
        <w:rPr>
          <w:rFonts w:ascii="Arial" w:eastAsia="Calibri" w:hAnsi="Arial" w:cs="Arial"/>
          <w:sz w:val="23"/>
          <w:szCs w:val="23"/>
        </w:rPr>
        <w:t>6</w:t>
      </w:r>
      <w:r w:rsidR="00500FA5" w:rsidRPr="00663257">
        <w:rPr>
          <w:rFonts w:ascii="Arial" w:eastAsia="Calibri" w:hAnsi="Arial" w:cs="Arial"/>
          <w:sz w:val="23"/>
          <w:szCs w:val="23"/>
        </w:rPr>
        <w:t xml:space="preserve"> de </w:t>
      </w:r>
      <w:r w:rsidR="006E2854" w:rsidRPr="00663257">
        <w:rPr>
          <w:rFonts w:ascii="Arial" w:eastAsia="Calibri" w:hAnsi="Arial" w:cs="Arial"/>
          <w:sz w:val="23"/>
          <w:szCs w:val="23"/>
        </w:rPr>
        <w:t>ju</w:t>
      </w:r>
      <w:r w:rsidR="009312C8" w:rsidRPr="00663257">
        <w:rPr>
          <w:rFonts w:ascii="Arial" w:eastAsia="Calibri" w:hAnsi="Arial" w:cs="Arial"/>
          <w:sz w:val="23"/>
          <w:szCs w:val="23"/>
        </w:rPr>
        <w:t>l</w:t>
      </w:r>
      <w:r w:rsidR="006E2854" w:rsidRPr="00663257">
        <w:rPr>
          <w:rFonts w:ascii="Arial" w:eastAsia="Calibri" w:hAnsi="Arial" w:cs="Arial"/>
          <w:sz w:val="23"/>
          <w:szCs w:val="23"/>
        </w:rPr>
        <w:t>ho</w:t>
      </w:r>
      <w:r w:rsidR="00500FA5" w:rsidRPr="00663257">
        <w:rPr>
          <w:rFonts w:ascii="Arial" w:eastAsia="Calibri" w:hAnsi="Arial" w:cs="Arial"/>
          <w:sz w:val="23"/>
          <w:szCs w:val="23"/>
        </w:rPr>
        <w:t xml:space="preserve"> de 2017.</w:t>
      </w:r>
    </w:p>
    <w:p w:rsidR="00500FA5" w:rsidRPr="00663257" w:rsidRDefault="00500FA5" w:rsidP="00663257">
      <w:pPr>
        <w:tabs>
          <w:tab w:val="left" w:pos="1701"/>
          <w:tab w:val="left" w:pos="5059"/>
        </w:tabs>
        <w:spacing w:line="240" w:lineRule="auto"/>
        <w:jc w:val="center"/>
        <w:rPr>
          <w:rFonts w:ascii="Arial" w:eastAsia="Calibri" w:hAnsi="Arial" w:cs="Arial"/>
          <w:sz w:val="23"/>
          <w:szCs w:val="23"/>
        </w:rPr>
      </w:pPr>
    </w:p>
    <w:p w:rsidR="00500FA5" w:rsidRPr="00663257" w:rsidRDefault="00500FA5"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Vereadora Relatora</w:t>
      </w:r>
    </w:p>
    <w:p w:rsidR="00500FA5" w:rsidRPr="00663257" w:rsidRDefault="00500FA5"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 xml:space="preserve">Manu </w:t>
      </w:r>
      <w:proofErr w:type="spellStart"/>
      <w:r w:rsidRPr="00663257">
        <w:rPr>
          <w:rFonts w:ascii="Arial" w:eastAsia="Calibri" w:hAnsi="Arial" w:cs="Arial"/>
          <w:sz w:val="23"/>
          <w:szCs w:val="23"/>
        </w:rPr>
        <w:t>Caliari</w:t>
      </w:r>
      <w:proofErr w:type="spellEnd"/>
    </w:p>
    <w:p w:rsidR="00E45270" w:rsidRPr="00663257" w:rsidRDefault="00E45270"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Acompanhando o voto da relatora:</w:t>
      </w:r>
    </w:p>
    <w:p w:rsidR="006E2854" w:rsidRPr="00663257" w:rsidRDefault="006E2854" w:rsidP="00663257">
      <w:pPr>
        <w:tabs>
          <w:tab w:val="left" w:pos="1701"/>
          <w:tab w:val="left" w:pos="5059"/>
        </w:tabs>
        <w:spacing w:line="240" w:lineRule="auto"/>
        <w:jc w:val="center"/>
        <w:rPr>
          <w:rFonts w:ascii="Arial" w:eastAsia="Calibri" w:hAnsi="Arial" w:cs="Arial"/>
          <w:sz w:val="23"/>
          <w:szCs w:val="23"/>
        </w:rPr>
      </w:pPr>
    </w:p>
    <w:p w:rsidR="00E45270" w:rsidRPr="00663257" w:rsidRDefault="00E45270"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Vereador Presidente</w:t>
      </w:r>
    </w:p>
    <w:p w:rsidR="00E45270" w:rsidRPr="00663257" w:rsidRDefault="00E45270"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 xml:space="preserve">Rafael </w:t>
      </w:r>
      <w:proofErr w:type="spellStart"/>
      <w:r w:rsidRPr="00663257">
        <w:rPr>
          <w:rFonts w:ascii="Arial" w:eastAsia="Calibri" w:hAnsi="Arial" w:cs="Arial"/>
          <w:sz w:val="23"/>
          <w:szCs w:val="23"/>
        </w:rPr>
        <w:t>Ronsoni</w:t>
      </w:r>
      <w:proofErr w:type="spellEnd"/>
    </w:p>
    <w:p w:rsidR="009312C8" w:rsidRPr="00663257" w:rsidRDefault="009312C8" w:rsidP="00663257">
      <w:pPr>
        <w:tabs>
          <w:tab w:val="left" w:pos="1701"/>
          <w:tab w:val="left" w:pos="5059"/>
        </w:tabs>
        <w:spacing w:line="240" w:lineRule="auto"/>
        <w:jc w:val="center"/>
        <w:rPr>
          <w:rFonts w:ascii="Arial" w:eastAsia="Calibri" w:hAnsi="Arial" w:cs="Arial"/>
          <w:sz w:val="23"/>
          <w:szCs w:val="23"/>
        </w:rPr>
      </w:pPr>
    </w:p>
    <w:p w:rsidR="00500FA5" w:rsidRPr="00663257" w:rsidRDefault="00500FA5" w:rsidP="00663257">
      <w:pPr>
        <w:tabs>
          <w:tab w:val="left" w:pos="1701"/>
          <w:tab w:val="left" w:pos="5059"/>
        </w:tabs>
        <w:spacing w:line="240" w:lineRule="auto"/>
        <w:jc w:val="center"/>
        <w:rPr>
          <w:rFonts w:ascii="Arial" w:eastAsia="Calibri" w:hAnsi="Arial" w:cs="Arial"/>
          <w:sz w:val="23"/>
          <w:szCs w:val="23"/>
        </w:rPr>
      </w:pPr>
      <w:r w:rsidRPr="00663257">
        <w:rPr>
          <w:rFonts w:ascii="Arial" w:eastAsia="Calibri" w:hAnsi="Arial" w:cs="Arial"/>
          <w:sz w:val="23"/>
          <w:szCs w:val="23"/>
        </w:rPr>
        <w:t>Vereador Vice-Presidente</w:t>
      </w:r>
    </w:p>
    <w:p w:rsidR="00F2329E" w:rsidRPr="00663257" w:rsidRDefault="00500FA5" w:rsidP="00663257">
      <w:pPr>
        <w:tabs>
          <w:tab w:val="left" w:pos="1701"/>
          <w:tab w:val="left" w:pos="5059"/>
        </w:tabs>
        <w:spacing w:line="240" w:lineRule="auto"/>
        <w:jc w:val="center"/>
        <w:rPr>
          <w:rFonts w:ascii="Arial" w:hAnsi="Arial" w:cs="Arial"/>
          <w:sz w:val="23"/>
          <w:szCs w:val="23"/>
        </w:rPr>
      </w:pPr>
      <w:r w:rsidRPr="00663257">
        <w:rPr>
          <w:rFonts w:ascii="Arial" w:eastAsia="Calibri" w:hAnsi="Arial" w:cs="Arial"/>
          <w:sz w:val="23"/>
          <w:szCs w:val="23"/>
        </w:rPr>
        <w:t xml:space="preserve">Everton </w:t>
      </w:r>
      <w:proofErr w:type="spellStart"/>
      <w:r w:rsidRPr="00663257">
        <w:rPr>
          <w:rFonts w:ascii="Arial" w:eastAsia="Calibri" w:hAnsi="Arial" w:cs="Arial"/>
          <w:sz w:val="23"/>
          <w:szCs w:val="23"/>
        </w:rPr>
        <w:t>Michaelsen</w:t>
      </w:r>
      <w:proofErr w:type="spellEnd"/>
    </w:p>
    <w:sectPr w:rsidR="00F2329E" w:rsidRPr="00663257" w:rsidSect="00752D93">
      <w:headerReference w:type="default" r:id="rId9"/>
      <w:footerReference w:type="default" r:id="rId10"/>
      <w:pgSz w:w="11906" w:h="16838"/>
      <w:pgMar w:top="851"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AB" w:rsidRDefault="00F059AB" w:rsidP="00E87D4A">
      <w:pPr>
        <w:spacing w:after="0" w:line="240" w:lineRule="auto"/>
      </w:pPr>
      <w:r>
        <w:separator/>
      </w:r>
    </w:p>
  </w:endnote>
  <w:endnote w:type="continuationSeparator" w:id="0">
    <w:p w:rsidR="00F059AB" w:rsidRDefault="00F059AB"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9AB" w:rsidRDefault="00F059AB" w:rsidP="00BB2345">
    <w:pPr>
      <w:pStyle w:val="Rodap"/>
      <w:ind w:left="-1134"/>
      <w:jc w:val="right"/>
    </w:pPr>
    <w:r>
      <w:rPr>
        <w:noProof/>
        <w:lang w:eastAsia="pt-BR"/>
      </w:rPr>
      <w:drawing>
        <wp:inline distT="0" distB="0" distL="0" distR="0" wp14:anchorId="2E07BC37" wp14:editId="79CC5E0C">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F059AB" w:rsidRDefault="00F059AB"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AB" w:rsidRDefault="00F059AB" w:rsidP="00E87D4A">
      <w:pPr>
        <w:spacing w:after="0" w:line="240" w:lineRule="auto"/>
      </w:pPr>
      <w:r>
        <w:separator/>
      </w:r>
    </w:p>
  </w:footnote>
  <w:footnote w:type="continuationSeparator" w:id="0">
    <w:p w:rsidR="00F059AB" w:rsidRDefault="00F059AB"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9AB" w:rsidRPr="00E87D4A" w:rsidRDefault="00F059AB" w:rsidP="00BB2345">
    <w:pPr>
      <w:pStyle w:val="Cabealho"/>
      <w:ind w:left="-1134"/>
    </w:pPr>
    <w:r>
      <w:rPr>
        <w:noProof/>
        <w:lang w:eastAsia="pt-BR"/>
      </w:rPr>
      <w:drawing>
        <wp:inline distT="0" distB="0" distL="0" distR="0" wp14:anchorId="77ACCC46" wp14:editId="3B25A3BF">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384"/>
    <w:multiLevelType w:val="hybridMultilevel"/>
    <w:tmpl w:val="96FCA838"/>
    <w:lvl w:ilvl="0" w:tplc="CF0C9C4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
    <w:nsid w:val="15F20B75"/>
    <w:multiLevelType w:val="hybridMultilevel"/>
    <w:tmpl w:val="2C949E00"/>
    <w:lvl w:ilvl="0" w:tplc="339422EC">
      <w:start w:val="7"/>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
    <w:nsid w:val="2FEB1301"/>
    <w:multiLevelType w:val="hybridMultilevel"/>
    <w:tmpl w:val="1E6EAC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50F396A"/>
    <w:multiLevelType w:val="hybridMultilevel"/>
    <w:tmpl w:val="529CBA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4D335A4C"/>
    <w:multiLevelType w:val="hybridMultilevel"/>
    <w:tmpl w:val="C77A3ADC"/>
    <w:lvl w:ilvl="0" w:tplc="9A08C8D2">
      <w:start w:val="1"/>
      <w:numFmt w:val="lowerLetter"/>
      <w:lvlText w:val="%1)"/>
      <w:lvlJc w:val="left"/>
      <w:pPr>
        <w:tabs>
          <w:tab w:val="num" w:pos="1211"/>
        </w:tabs>
        <w:ind w:left="1211"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620C3260"/>
    <w:multiLevelType w:val="hybridMultilevel"/>
    <w:tmpl w:val="BC9C5A38"/>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54245"/>
    <w:rsid w:val="00065D9B"/>
    <w:rsid w:val="000B3C58"/>
    <w:rsid w:val="0013266E"/>
    <w:rsid w:val="00156C1C"/>
    <w:rsid w:val="0021539D"/>
    <w:rsid w:val="00241611"/>
    <w:rsid w:val="002522A4"/>
    <w:rsid w:val="002608AB"/>
    <w:rsid w:val="002667A6"/>
    <w:rsid w:val="002767B2"/>
    <w:rsid w:val="002A2915"/>
    <w:rsid w:val="002C126B"/>
    <w:rsid w:val="002C4C09"/>
    <w:rsid w:val="003005FA"/>
    <w:rsid w:val="0033705A"/>
    <w:rsid w:val="0034001D"/>
    <w:rsid w:val="003655A1"/>
    <w:rsid w:val="003F155C"/>
    <w:rsid w:val="003F6E36"/>
    <w:rsid w:val="004126CC"/>
    <w:rsid w:val="004170A5"/>
    <w:rsid w:val="004276A0"/>
    <w:rsid w:val="00440288"/>
    <w:rsid w:val="00453E60"/>
    <w:rsid w:val="00482543"/>
    <w:rsid w:val="004A11CF"/>
    <w:rsid w:val="004A408F"/>
    <w:rsid w:val="004B2C02"/>
    <w:rsid w:val="004C4DBA"/>
    <w:rsid w:val="004C7FCF"/>
    <w:rsid w:val="004E2FDE"/>
    <w:rsid w:val="00500FA5"/>
    <w:rsid w:val="005124D1"/>
    <w:rsid w:val="005617C5"/>
    <w:rsid w:val="00564BD1"/>
    <w:rsid w:val="00567EF7"/>
    <w:rsid w:val="0058188A"/>
    <w:rsid w:val="00592622"/>
    <w:rsid w:val="005F6010"/>
    <w:rsid w:val="00631318"/>
    <w:rsid w:val="00663257"/>
    <w:rsid w:val="00666BF8"/>
    <w:rsid w:val="006910D9"/>
    <w:rsid w:val="006939D0"/>
    <w:rsid w:val="006E2854"/>
    <w:rsid w:val="00752D93"/>
    <w:rsid w:val="007918F3"/>
    <w:rsid w:val="0079464B"/>
    <w:rsid w:val="007B290E"/>
    <w:rsid w:val="007B2FDD"/>
    <w:rsid w:val="0086183E"/>
    <w:rsid w:val="0087544C"/>
    <w:rsid w:val="00884F96"/>
    <w:rsid w:val="008A3C2B"/>
    <w:rsid w:val="008F0853"/>
    <w:rsid w:val="0090288F"/>
    <w:rsid w:val="00921A7E"/>
    <w:rsid w:val="009312C8"/>
    <w:rsid w:val="00954242"/>
    <w:rsid w:val="00A166A1"/>
    <w:rsid w:val="00A270FF"/>
    <w:rsid w:val="00A327CC"/>
    <w:rsid w:val="00A3548C"/>
    <w:rsid w:val="00A90B79"/>
    <w:rsid w:val="00AB37CE"/>
    <w:rsid w:val="00AB3F7D"/>
    <w:rsid w:val="00AD1C4D"/>
    <w:rsid w:val="00AE0EA3"/>
    <w:rsid w:val="00B02586"/>
    <w:rsid w:val="00B06501"/>
    <w:rsid w:val="00B21102"/>
    <w:rsid w:val="00B22729"/>
    <w:rsid w:val="00B420B2"/>
    <w:rsid w:val="00B466FD"/>
    <w:rsid w:val="00B8049D"/>
    <w:rsid w:val="00BA3174"/>
    <w:rsid w:val="00BB0FA2"/>
    <w:rsid w:val="00BB2345"/>
    <w:rsid w:val="00BC1303"/>
    <w:rsid w:val="00BD38AB"/>
    <w:rsid w:val="00C537CA"/>
    <w:rsid w:val="00C9458E"/>
    <w:rsid w:val="00CF2331"/>
    <w:rsid w:val="00D0453B"/>
    <w:rsid w:val="00D146C3"/>
    <w:rsid w:val="00D37813"/>
    <w:rsid w:val="00D62E1D"/>
    <w:rsid w:val="00D65976"/>
    <w:rsid w:val="00D74590"/>
    <w:rsid w:val="00D75252"/>
    <w:rsid w:val="00DA5FBA"/>
    <w:rsid w:val="00DC1025"/>
    <w:rsid w:val="00DE73CE"/>
    <w:rsid w:val="00DF5FDF"/>
    <w:rsid w:val="00E45270"/>
    <w:rsid w:val="00E56F64"/>
    <w:rsid w:val="00E72B13"/>
    <w:rsid w:val="00E748E8"/>
    <w:rsid w:val="00E87D4A"/>
    <w:rsid w:val="00E9581C"/>
    <w:rsid w:val="00EC1451"/>
    <w:rsid w:val="00EE753B"/>
    <w:rsid w:val="00F02692"/>
    <w:rsid w:val="00F059AB"/>
    <w:rsid w:val="00F05D17"/>
    <w:rsid w:val="00F2329E"/>
    <w:rsid w:val="00F2591F"/>
    <w:rsid w:val="00F450CC"/>
    <w:rsid w:val="00F5566E"/>
    <w:rsid w:val="00F853B7"/>
    <w:rsid w:val="00F96B74"/>
    <w:rsid w:val="00FF1693"/>
    <w:rsid w:val="00FF7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2522A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unhideWhenUsed/>
    <w:rsid w:val="00EC14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1451"/>
    <w:pPr>
      <w:spacing w:after="200" w:line="276" w:lineRule="auto"/>
      <w:ind w:left="720"/>
      <w:contextualSpacing/>
    </w:pPr>
  </w:style>
  <w:style w:type="paragraph" w:styleId="Corpodetexto">
    <w:name w:val="Body Text"/>
    <w:basedOn w:val="Normal"/>
    <w:link w:val="CorpodetextoChar"/>
    <w:uiPriority w:val="99"/>
    <w:unhideWhenUsed/>
    <w:rsid w:val="00752D9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752D93"/>
    <w:rPr>
      <w:rFonts w:ascii="Arial" w:eastAsia="Times New Roman" w:hAnsi="Arial" w:cs="Times New Roman"/>
      <w:b/>
      <w:i/>
      <w:szCs w:val="20"/>
      <w:lang w:val="x-none" w:eastAsia="x-none"/>
    </w:rPr>
  </w:style>
  <w:style w:type="paragraph" w:styleId="Recuodecorpodetexto">
    <w:name w:val="Body Text Indent"/>
    <w:basedOn w:val="Normal"/>
    <w:link w:val="RecuodecorpodetextoChar"/>
    <w:uiPriority w:val="99"/>
    <w:semiHidden/>
    <w:unhideWhenUsed/>
    <w:rsid w:val="00752D93"/>
    <w:pPr>
      <w:tabs>
        <w:tab w:val="left" w:pos="3168"/>
        <w:tab w:val="left" w:pos="3888"/>
        <w:tab w:val="left" w:pos="4608"/>
        <w:tab w:val="left" w:pos="5328"/>
        <w:tab w:val="left" w:pos="6048"/>
        <w:tab w:val="left" w:pos="6768"/>
      </w:tabs>
      <w:spacing w:before="120" w:after="0" w:line="240" w:lineRule="auto"/>
      <w:ind w:left="4253"/>
      <w:jc w:val="both"/>
    </w:pPr>
    <w:rPr>
      <w:rFonts w:ascii="Arial" w:eastAsia="Times New Roman" w:hAnsi="Arial" w:cs="Times New Roman"/>
      <w:i/>
      <w:szCs w:val="20"/>
      <w:lang w:val="x-none" w:eastAsia="x-none"/>
    </w:rPr>
  </w:style>
  <w:style w:type="character" w:customStyle="1" w:styleId="RecuodecorpodetextoChar">
    <w:name w:val="Recuo de corpo de texto Char"/>
    <w:basedOn w:val="Fontepargpadro"/>
    <w:link w:val="Recuodecorpodetexto"/>
    <w:uiPriority w:val="99"/>
    <w:semiHidden/>
    <w:rsid w:val="00752D93"/>
    <w:rPr>
      <w:rFonts w:ascii="Arial" w:eastAsia="Times New Roman" w:hAnsi="Arial" w:cs="Times New Roman"/>
      <w:i/>
      <w:szCs w:val="20"/>
      <w:lang w:val="x-none" w:eastAsia="x-none"/>
    </w:rPr>
  </w:style>
  <w:style w:type="paragraph" w:styleId="Corpodetexto2">
    <w:name w:val="Body Text 2"/>
    <w:basedOn w:val="Normal"/>
    <w:link w:val="Corpodetexto2Char"/>
    <w:uiPriority w:val="99"/>
    <w:semiHidden/>
    <w:unhideWhenUsed/>
    <w:rsid w:val="00752D93"/>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semiHidden/>
    <w:rsid w:val="00752D93"/>
    <w:rPr>
      <w:rFonts w:ascii="Arial" w:eastAsia="Times New Roman" w:hAnsi="Arial" w:cs="Times New Roman"/>
      <w:szCs w:val="20"/>
      <w:lang w:val="x-none" w:eastAsia="x-none"/>
    </w:rPr>
  </w:style>
  <w:style w:type="table" w:styleId="Tabelacomgrade">
    <w:name w:val="Table Grid"/>
    <w:basedOn w:val="Tabelanormal"/>
    <w:uiPriority w:val="39"/>
    <w:rsid w:val="00691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64BD1"/>
  </w:style>
  <w:style w:type="character" w:customStyle="1" w:styleId="firstementa">
    <w:name w:val="firstementa"/>
    <w:basedOn w:val="Fontepargpadro"/>
    <w:rsid w:val="00BC1303"/>
  </w:style>
  <w:style w:type="character" w:customStyle="1" w:styleId="hidden">
    <w:name w:val="hidden"/>
    <w:basedOn w:val="Fontepargpadro"/>
    <w:rsid w:val="00BC1303"/>
  </w:style>
  <w:style w:type="character" w:customStyle="1" w:styleId="Ttulo2Char">
    <w:name w:val="Título 2 Char"/>
    <w:basedOn w:val="Fontepargpadro"/>
    <w:link w:val="Ttulo2"/>
    <w:uiPriority w:val="9"/>
    <w:semiHidden/>
    <w:rsid w:val="002522A4"/>
    <w:rPr>
      <w:rFonts w:asciiTheme="majorHAnsi" w:eastAsiaTheme="majorEastAsia" w:hAnsiTheme="majorHAnsi" w:cstheme="majorBidi"/>
      <w:b/>
      <w:bCs/>
      <w:color w:val="4472C4" w:themeColor="accent1"/>
      <w:sz w:val="26"/>
      <w:szCs w:val="26"/>
    </w:rPr>
  </w:style>
  <w:style w:type="character" w:customStyle="1" w:styleId="label">
    <w:name w:val="label"/>
    <w:basedOn w:val="Fontepargpadro"/>
    <w:rsid w:val="007B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901">
      <w:bodyDiv w:val="1"/>
      <w:marLeft w:val="0"/>
      <w:marRight w:val="0"/>
      <w:marTop w:val="0"/>
      <w:marBottom w:val="0"/>
      <w:divBdr>
        <w:top w:val="none" w:sz="0" w:space="0" w:color="auto"/>
        <w:left w:val="none" w:sz="0" w:space="0" w:color="auto"/>
        <w:bottom w:val="none" w:sz="0" w:space="0" w:color="auto"/>
        <w:right w:val="none" w:sz="0" w:space="0" w:color="auto"/>
      </w:divBdr>
    </w:div>
    <w:div w:id="260720294">
      <w:bodyDiv w:val="1"/>
      <w:marLeft w:val="0"/>
      <w:marRight w:val="0"/>
      <w:marTop w:val="0"/>
      <w:marBottom w:val="0"/>
      <w:divBdr>
        <w:top w:val="none" w:sz="0" w:space="0" w:color="auto"/>
        <w:left w:val="none" w:sz="0" w:space="0" w:color="auto"/>
        <w:bottom w:val="none" w:sz="0" w:space="0" w:color="auto"/>
        <w:right w:val="none" w:sz="0" w:space="0" w:color="auto"/>
      </w:divBdr>
    </w:div>
    <w:div w:id="288047254">
      <w:bodyDiv w:val="1"/>
      <w:marLeft w:val="0"/>
      <w:marRight w:val="0"/>
      <w:marTop w:val="0"/>
      <w:marBottom w:val="0"/>
      <w:divBdr>
        <w:top w:val="none" w:sz="0" w:space="0" w:color="auto"/>
        <w:left w:val="none" w:sz="0" w:space="0" w:color="auto"/>
        <w:bottom w:val="none" w:sz="0" w:space="0" w:color="auto"/>
        <w:right w:val="none" w:sz="0" w:space="0" w:color="auto"/>
      </w:divBdr>
    </w:div>
    <w:div w:id="333384169">
      <w:bodyDiv w:val="1"/>
      <w:marLeft w:val="0"/>
      <w:marRight w:val="0"/>
      <w:marTop w:val="0"/>
      <w:marBottom w:val="0"/>
      <w:divBdr>
        <w:top w:val="none" w:sz="0" w:space="0" w:color="auto"/>
        <w:left w:val="none" w:sz="0" w:space="0" w:color="auto"/>
        <w:bottom w:val="none" w:sz="0" w:space="0" w:color="auto"/>
        <w:right w:val="none" w:sz="0" w:space="0" w:color="auto"/>
      </w:divBdr>
    </w:div>
    <w:div w:id="354424478">
      <w:bodyDiv w:val="1"/>
      <w:marLeft w:val="0"/>
      <w:marRight w:val="0"/>
      <w:marTop w:val="0"/>
      <w:marBottom w:val="0"/>
      <w:divBdr>
        <w:top w:val="none" w:sz="0" w:space="0" w:color="auto"/>
        <w:left w:val="none" w:sz="0" w:space="0" w:color="auto"/>
        <w:bottom w:val="none" w:sz="0" w:space="0" w:color="auto"/>
        <w:right w:val="none" w:sz="0" w:space="0" w:color="auto"/>
      </w:divBdr>
    </w:div>
    <w:div w:id="379943864">
      <w:bodyDiv w:val="1"/>
      <w:marLeft w:val="0"/>
      <w:marRight w:val="0"/>
      <w:marTop w:val="0"/>
      <w:marBottom w:val="0"/>
      <w:divBdr>
        <w:top w:val="none" w:sz="0" w:space="0" w:color="auto"/>
        <w:left w:val="none" w:sz="0" w:space="0" w:color="auto"/>
        <w:bottom w:val="none" w:sz="0" w:space="0" w:color="auto"/>
        <w:right w:val="none" w:sz="0" w:space="0" w:color="auto"/>
      </w:divBdr>
    </w:div>
    <w:div w:id="457993569">
      <w:bodyDiv w:val="1"/>
      <w:marLeft w:val="0"/>
      <w:marRight w:val="0"/>
      <w:marTop w:val="0"/>
      <w:marBottom w:val="0"/>
      <w:divBdr>
        <w:top w:val="none" w:sz="0" w:space="0" w:color="auto"/>
        <w:left w:val="none" w:sz="0" w:space="0" w:color="auto"/>
        <w:bottom w:val="none" w:sz="0" w:space="0" w:color="auto"/>
        <w:right w:val="none" w:sz="0" w:space="0" w:color="auto"/>
      </w:divBdr>
    </w:div>
    <w:div w:id="492066049">
      <w:bodyDiv w:val="1"/>
      <w:marLeft w:val="0"/>
      <w:marRight w:val="0"/>
      <w:marTop w:val="0"/>
      <w:marBottom w:val="0"/>
      <w:divBdr>
        <w:top w:val="none" w:sz="0" w:space="0" w:color="auto"/>
        <w:left w:val="none" w:sz="0" w:space="0" w:color="auto"/>
        <w:bottom w:val="none" w:sz="0" w:space="0" w:color="auto"/>
        <w:right w:val="none" w:sz="0" w:space="0" w:color="auto"/>
      </w:divBdr>
      <w:divsChild>
        <w:div w:id="2109151267">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4127">
      <w:bodyDiv w:val="1"/>
      <w:marLeft w:val="0"/>
      <w:marRight w:val="0"/>
      <w:marTop w:val="0"/>
      <w:marBottom w:val="0"/>
      <w:divBdr>
        <w:top w:val="none" w:sz="0" w:space="0" w:color="auto"/>
        <w:left w:val="none" w:sz="0" w:space="0" w:color="auto"/>
        <w:bottom w:val="none" w:sz="0" w:space="0" w:color="auto"/>
        <w:right w:val="none" w:sz="0" w:space="0" w:color="auto"/>
      </w:divBdr>
    </w:div>
    <w:div w:id="639771045">
      <w:bodyDiv w:val="1"/>
      <w:marLeft w:val="0"/>
      <w:marRight w:val="0"/>
      <w:marTop w:val="0"/>
      <w:marBottom w:val="0"/>
      <w:divBdr>
        <w:top w:val="none" w:sz="0" w:space="0" w:color="auto"/>
        <w:left w:val="none" w:sz="0" w:space="0" w:color="auto"/>
        <w:bottom w:val="none" w:sz="0" w:space="0" w:color="auto"/>
        <w:right w:val="none" w:sz="0" w:space="0" w:color="auto"/>
      </w:divBdr>
    </w:div>
    <w:div w:id="832909545">
      <w:bodyDiv w:val="1"/>
      <w:marLeft w:val="0"/>
      <w:marRight w:val="0"/>
      <w:marTop w:val="0"/>
      <w:marBottom w:val="0"/>
      <w:divBdr>
        <w:top w:val="none" w:sz="0" w:space="0" w:color="auto"/>
        <w:left w:val="none" w:sz="0" w:space="0" w:color="auto"/>
        <w:bottom w:val="none" w:sz="0" w:space="0" w:color="auto"/>
        <w:right w:val="none" w:sz="0" w:space="0" w:color="auto"/>
      </w:divBdr>
    </w:div>
    <w:div w:id="851526329">
      <w:bodyDiv w:val="1"/>
      <w:marLeft w:val="0"/>
      <w:marRight w:val="0"/>
      <w:marTop w:val="0"/>
      <w:marBottom w:val="0"/>
      <w:divBdr>
        <w:top w:val="none" w:sz="0" w:space="0" w:color="auto"/>
        <w:left w:val="none" w:sz="0" w:space="0" w:color="auto"/>
        <w:bottom w:val="none" w:sz="0" w:space="0" w:color="auto"/>
        <w:right w:val="none" w:sz="0" w:space="0" w:color="auto"/>
      </w:divBdr>
    </w:div>
    <w:div w:id="854540647">
      <w:bodyDiv w:val="1"/>
      <w:marLeft w:val="0"/>
      <w:marRight w:val="0"/>
      <w:marTop w:val="0"/>
      <w:marBottom w:val="0"/>
      <w:divBdr>
        <w:top w:val="none" w:sz="0" w:space="0" w:color="auto"/>
        <w:left w:val="none" w:sz="0" w:space="0" w:color="auto"/>
        <w:bottom w:val="none" w:sz="0" w:space="0" w:color="auto"/>
        <w:right w:val="none" w:sz="0" w:space="0" w:color="auto"/>
      </w:divBdr>
    </w:div>
    <w:div w:id="861434734">
      <w:bodyDiv w:val="1"/>
      <w:marLeft w:val="0"/>
      <w:marRight w:val="0"/>
      <w:marTop w:val="0"/>
      <w:marBottom w:val="0"/>
      <w:divBdr>
        <w:top w:val="none" w:sz="0" w:space="0" w:color="auto"/>
        <w:left w:val="none" w:sz="0" w:space="0" w:color="auto"/>
        <w:bottom w:val="none" w:sz="0" w:space="0" w:color="auto"/>
        <w:right w:val="none" w:sz="0" w:space="0" w:color="auto"/>
      </w:divBdr>
    </w:div>
    <w:div w:id="913393025">
      <w:bodyDiv w:val="1"/>
      <w:marLeft w:val="0"/>
      <w:marRight w:val="0"/>
      <w:marTop w:val="0"/>
      <w:marBottom w:val="0"/>
      <w:divBdr>
        <w:top w:val="none" w:sz="0" w:space="0" w:color="auto"/>
        <w:left w:val="none" w:sz="0" w:space="0" w:color="auto"/>
        <w:bottom w:val="none" w:sz="0" w:space="0" w:color="auto"/>
        <w:right w:val="none" w:sz="0" w:space="0" w:color="auto"/>
      </w:divBdr>
    </w:div>
    <w:div w:id="1124615867">
      <w:bodyDiv w:val="1"/>
      <w:marLeft w:val="0"/>
      <w:marRight w:val="0"/>
      <w:marTop w:val="0"/>
      <w:marBottom w:val="0"/>
      <w:divBdr>
        <w:top w:val="none" w:sz="0" w:space="0" w:color="auto"/>
        <w:left w:val="none" w:sz="0" w:space="0" w:color="auto"/>
        <w:bottom w:val="none" w:sz="0" w:space="0" w:color="auto"/>
        <w:right w:val="none" w:sz="0" w:space="0" w:color="auto"/>
      </w:divBdr>
    </w:div>
    <w:div w:id="1506938883">
      <w:bodyDiv w:val="1"/>
      <w:marLeft w:val="0"/>
      <w:marRight w:val="0"/>
      <w:marTop w:val="0"/>
      <w:marBottom w:val="0"/>
      <w:divBdr>
        <w:top w:val="none" w:sz="0" w:space="0" w:color="auto"/>
        <w:left w:val="none" w:sz="0" w:space="0" w:color="auto"/>
        <w:bottom w:val="none" w:sz="0" w:space="0" w:color="auto"/>
        <w:right w:val="none" w:sz="0" w:space="0" w:color="auto"/>
      </w:divBdr>
    </w:div>
    <w:div w:id="1628315876">
      <w:bodyDiv w:val="1"/>
      <w:marLeft w:val="0"/>
      <w:marRight w:val="0"/>
      <w:marTop w:val="0"/>
      <w:marBottom w:val="0"/>
      <w:divBdr>
        <w:top w:val="none" w:sz="0" w:space="0" w:color="auto"/>
        <w:left w:val="none" w:sz="0" w:space="0" w:color="auto"/>
        <w:bottom w:val="none" w:sz="0" w:space="0" w:color="auto"/>
        <w:right w:val="none" w:sz="0" w:space="0" w:color="auto"/>
      </w:divBdr>
    </w:div>
    <w:div w:id="1629581368">
      <w:bodyDiv w:val="1"/>
      <w:marLeft w:val="0"/>
      <w:marRight w:val="0"/>
      <w:marTop w:val="0"/>
      <w:marBottom w:val="0"/>
      <w:divBdr>
        <w:top w:val="none" w:sz="0" w:space="0" w:color="auto"/>
        <w:left w:val="none" w:sz="0" w:space="0" w:color="auto"/>
        <w:bottom w:val="none" w:sz="0" w:space="0" w:color="auto"/>
        <w:right w:val="none" w:sz="0" w:space="0" w:color="auto"/>
      </w:divBdr>
    </w:div>
    <w:div w:id="1692758280">
      <w:bodyDiv w:val="1"/>
      <w:marLeft w:val="0"/>
      <w:marRight w:val="0"/>
      <w:marTop w:val="0"/>
      <w:marBottom w:val="0"/>
      <w:divBdr>
        <w:top w:val="none" w:sz="0" w:space="0" w:color="auto"/>
        <w:left w:val="none" w:sz="0" w:space="0" w:color="auto"/>
        <w:bottom w:val="none" w:sz="0" w:space="0" w:color="auto"/>
        <w:right w:val="none" w:sz="0" w:space="0" w:color="auto"/>
      </w:divBdr>
    </w:div>
    <w:div w:id="1717463470">
      <w:bodyDiv w:val="1"/>
      <w:marLeft w:val="0"/>
      <w:marRight w:val="0"/>
      <w:marTop w:val="0"/>
      <w:marBottom w:val="0"/>
      <w:divBdr>
        <w:top w:val="none" w:sz="0" w:space="0" w:color="auto"/>
        <w:left w:val="none" w:sz="0" w:space="0" w:color="auto"/>
        <w:bottom w:val="none" w:sz="0" w:space="0" w:color="auto"/>
        <w:right w:val="none" w:sz="0" w:space="0" w:color="auto"/>
      </w:divBdr>
    </w:div>
    <w:div w:id="1837645888">
      <w:bodyDiv w:val="1"/>
      <w:marLeft w:val="0"/>
      <w:marRight w:val="0"/>
      <w:marTop w:val="0"/>
      <w:marBottom w:val="0"/>
      <w:divBdr>
        <w:top w:val="none" w:sz="0" w:space="0" w:color="auto"/>
        <w:left w:val="none" w:sz="0" w:space="0" w:color="auto"/>
        <w:bottom w:val="none" w:sz="0" w:space="0" w:color="auto"/>
        <w:right w:val="none" w:sz="0" w:space="0" w:color="auto"/>
      </w:divBdr>
    </w:div>
    <w:div w:id="1855611032">
      <w:bodyDiv w:val="1"/>
      <w:marLeft w:val="0"/>
      <w:marRight w:val="0"/>
      <w:marTop w:val="0"/>
      <w:marBottom w:val="0"/>
      <w:divBdr>
        <w:top w:val="none" w:sz="0" w:space="0" w:color="auto"/>
        <w:left w:val="none" w:sz="0" w:space="0" w:color="auto"/>
        <w:bottom w:val="none" w:sz="0" w:space="0" w:color="auto"/>
        <w:right w:val="none" w:sz="0" w:space="0" w:color="auto"/>
      </w:divBdr>
    </w:div>
    <w:div w:id="1946763990">
      <w:bodyDiv w:val="1"/>
      <w:marLeft w:val="0"/>
      <w:marRight w:val="0"/>
      <w:marTop w:val="0"/>
      <w:marBottom w:val="0"/>
      <w:divBdr>
        <w:top w:val="none" w:sz="0" w:space="0" w:color="auto"/>
        <w:left w:val="none" w:sz="0" w:space="0" w:color="auto"/>
        <w:bottom w:val="none" w:sz="0" w:space="0" w:color="auto"/>
        <w:right w:val="none" w:sz="0" w:space="0" w:color="auto"/>
      </w:divBdr>
      <w:divsChild>
        <w:div w:id="824974116">
          <w:marLeft w:val="0"/>
          <w:marRight w:val="0"/>
          <w:marTop w:val="0"/>
          <w:marBottom w:val="0"/>
          <w:divBdr>
            <w:top w:val="none" w:sz="0" w:space="0" w:color="auto"/>
            <w:left w:val="none" w:sz="0" w:space="0" w:color="auto"/>
            <w:bottom w:val="none" w:sz="0" w:space="0" w:color="auto"/>
            <w:right w:val="none" w:sz="0" w:space="0" w:color="auto"/>
          </w:divBdr>
        </w:div>
        <w:div w:id="1266842228">
          <w:marLeft w:val="0"/>
          <w:marRight w:val="0"/>
          <w:marTop w:val="0"/>
          <w:marBottom w:val="0"/>
          <w:divBdr>
            <w:top w:val="none" w:sz="0" w:space="0" w:color="auto"/>
            <w:left w:val="none" w:sz="0" w:space="0" w:color="auto"/>
            <w:bottom w:val="none" w:sz="0" w:space="0" w:color="auto"/>
            <w:right w:val="none" w:sz="0" w:space="0" w:color="auto"/>
          </w:divBdr>
        </w:div>
        <w:div w:id="595526199">
          <w:marLeft w:val="0"/>
          <w:marRight w:val="0"/>
          <w:marTop w:val="0"/>
          <w:marBottom w:val="0"/>
          <w:divBdr>
            <w:top w:val="none" w:sz="0" w:space="0" w:color="auto"/>
            <w:left w:val="none" w:sz="0" w:space="0" w:color="auto"/>
            <w:bottom w:val="none" w:sz="0" w:space="0" w:color="auto"/>
            <w:right w:val="none" w:sz="0" w:space="0" w:color="auto"/>
          </w:divBdr>
          <w:divsChild>
            <w:div w:id="19321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1547">
      <w:bodyDiv w:val="1"/>
      <w:marLeft w:val="0"/>
      <w:marRight w:val="0"/>
      <w:marTop w:val="0"/>
      <w:marBottom w:val="0"/>
      <w:divBdr>
        <w:top w:val="none" w:sz="0" w:space="0" w:color="auto"/>
        <w:left w:val="none" w:sz="0" w:space="0" w:color="auto"/>
        <w:bottom w:val="none" w:sz="0" w:space="0" w:color="auto"/>
        <w:right w:val="none" w:sz="0" w:space="0" w:color="auto"/>
      </w:divBdr>
    </w:div>
    <w:div w:id="2083524074">
      <w:bodyDiv w:val="1"/>
      <w:marLeft w:val="0"/>
      <w:marRight w:val="0"/>
      <w:marTop w:val="0"/>
      <w:marBottom w:val="0"/>
      <w:divBdr>
        <w:top w:val="none" w:sz="0" w:space="0" w:color="auto"/>
        <w:left w:val="none" w:sz="0" w:space="0" w:color="auto"/>
        <w:bottom w:val="none" w:sz="0" w:space="0" w:color="auto"/>
        <w:right w:val="none" w:sz="0" w:space="0" w:color="auto"/>
      </w:divBdr>
      <w:divsChild>
        <w:div w:id="632449265">
          <w:marLeft w:val="0"/>
          <w:marRight w:val="0"/>
          <w:marTop w:val="0"/>
          <w:marBottom w:val="0"/>
          <w:divBdr>
            <w:top w:val="none" w:sz="0" w:space="0" w:color="auto"/>
            <w:left w:val="none" w:sz="0" w:space="0" w:color="auto"/>
            <w:bottom w:val="none" w:sz="0" w:space="0" w:color="auto"/>
            <w:right w:val="none" w:sz="0" w:space="0" w:color="auto"/>
          </w:divBdr>
        </w:div>
        <w:div w:id="2087025455">
          <w:marLeft w:val="0"/>
          <w:marRight w:val="0"/>
          <w:marTop w:val="0"/>
          <w:marBottom w:val="0"/>
          <w:divBdr>
            <w:top w:val="none" w:sz="0" w:space="0" w:color="auto"/>
            <w:left w:val="none" w:sz="0" w:space="0" w:color="auto"/>
            <w:bottom w:val="none" w:sz="0" w:space="0" w:color="auto"/>
            <w:right w:val="none" w:sz="0" w:space="0" w:color="auto"/>
          </w:divBdr>
        </w:div>
        <w:div w:id="972095741">
          <w:marLeft w:val="0"/>
          <w:marRight w:val="0"/>
          <w:marTop w:val="0"/>
          <w:marBottom w:val="0"/>
          <w:divBdr>
            <w:top w:val="none" w:sz="0" w:space="0" w:color="auto"/>
            <w:left w:val="none" w:sz="0" w:space="0" w:color="auto"/>
            <w:bottom w:val="none" w:sz="0" w:space="0" w:color="auto"/>
            <w:right w:val="none" w:sz="0" w:space="0" w:color="auto"/>
          </w:divBdr>
          <w:divsChild>
            <w:div w:id="14509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DA2B9-4482-4927-B151-C736A14B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1616</Words>
  <Characters>8729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Mari</cp:lastModifiedBy>
  <cp:revision>3</cp:revision>
  <cp:lastPrinted>2017-07-06T11:43:00Z</cp:lastPrinted>
  <dcterms:created xsi:type="dcterms:W3CDTF">2017-07-06T11:45:00Z</dcterms:created>
  <dcterms:modified xsi:type="dcterms:W3CDTF">2017-07-06T12:13:00Z</dcterms:modified>
</cp:coreProperties>
</file>