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8F" w:rsidRDefault="0091448F" w:rsidP="003F2C5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Jurídico 2</w:t>
      </w:r>
      <w:r w:rsidR="002A6D4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/2017</w:t>
      </w:r>
      <w:r w:rsidR="003F2C52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Procuradoria Geral</w:t>
      </w:r>
    </w:p>
    <w:p w:rsidR="003F2C52" w:rsidRDefault="003F2C52" w:rsidP="003F2C5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Referência: </w:t>
      </w:r>
      <w:r w:rsidRPr="003F2C52">
        <w:rPr>
          <w:rFonts w:ascii="Arial" w:hAnsi="Arial" w:cs="Arial"/>
          <w:sz w:val="24"/>
          <w:szCs w:val="24"/>
        </w:rPr>
        <w:t xml:space="preserve">Projeto de </w:t>
      </w:r>
      <w:r>
        <w:rPr>
          <w:rFonts w:ascii="Arial" w:hAnsi="Arial" w:cs="Arial"/>
          <w:sz w:val="24"/>
          <w:szCs w:val="24"/>
        </w:rPr>
        <w:t>L</w:t>
      </w:r>
      <w:r w:rsidRPr="003F2C52">
        <w:rPr>
          <w:rFonts w:ascii="Arial" w:hAnsi="Arial" w:cs="Arial"/>
          <w:sz w:val="24"/>
          <w:szCs w:val="24"/>
        </w:rPr>
        <w:t>ei nº 017/2017</w:t>
      </w:r>
    </w:p>
    <w:p w:rsidR="003F2C52" w:rsidRPr="003F2C52" w:rsidRDefault="003F2C52" w:rsidP="003F2C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C52">
        <w:rPr>
          <w:rFonts w:ascii="Arial" w:hAnsi="Arial" w:cs="Arial"/>
          <w:b/>
          <w:sz w:val="24"/>
          <w:szCs w:val="24"/>
        </w:rPr>
        <w:t>Autoria:</w:t>
      </w:r>
      <w:r>
        <w:rPr>
          <w:rFonts w:ascii="Arial" w:hAnsi="Arial" w:cs="Arial"/>
          <w:sz w:val="24"/>
          <w:szCs w:val="24"/>
        </w:rPr>
        <w:t xml:space="preserve"> Executivo Municipal</w:t>
      </w:r>
    </w:p>
    <w:p w:rsidR="003F2C52" w:rsidRDefault="003F2C52" w:rsidP="003F2C5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F2C52" w:rsidRDefault="003F2C52" w:rsidP="003F2C52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3F2C52">
        <w:rPr>
          <w:rFonts w:ascii="Arial" w:hAnsi="Arial" w:cs="Arial"/>
          <w:b/>
          <w:sz w:val="24"/>
          <w:szCs w:val="24"/>
        </w:rPr>
        <w:t>Ementa:</w:t>
      </w:r>
      <w:r>
        <w:rPr>
          <w:rFonts w:ascii="Arial" w:hAnsi="Arial" w:cs="Arial"/>
          <w:sz w:val="24"/>
          <w:szCs w:val="24"/>
        </w:rPr>
        <w:t xml:space="preserve"> Altera a composição do Conselho Municipal de Assistência Social previsto na Lei 3.507/16 em conformidade com disposto na Lei Federal nº 8.742/93 e dá outras providências”</w:t>
      </w:r>
    </w:p>
    <w:p w:rsidR="003F2C52" w:rsidRDefault="003F2C52" w:rsidP="003F2C52">
      <w:pPr>
        <w:spacing w:line="360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F2C52" w:rsidRDefault="003F2C52" w:rsidP="003F2C5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I – RELATÓRIO</w:t>
      </w:r>
    </w:p>
    <w:p w:rsidR="003F2C52" w:rsidRPr="003F2C52" w:rsidRDefault="003F2C52" w:rsidP="003F2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Foi encaminhado à Procuradoria Jurídica desta Casa, para emissão de Parecer, o Projeto de Lei nº 017/2017, de autoria do Executivo Municipal, </w:t>
      </w:r>
      <w:r w:rsidR="00F8547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tem como objetivo alterar dispositivos da Lei Municipal nº 3.507/2016, que dispõe sobre a política de Assistência Social do Município de Gramado, o Conselho Municipal e o Fundo Municipal de Assistência Social.</w:t>
      </w:r>
    </w:p>
    <w:p w:rsidR="00F85477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 Justificativa</w:t>
      </w:r>
      <w:proofErr w:type="gramEnd"/>
      <w:r>
        <w:rPr>
          <w:rFonts w:ascii="Arial" w:hAnsi="Arial" w:cs="Arial"/>
          <w:sz w:val="24"/>
          <w:szCs w:val="24"/>
        </w:rPr>
        <w:t xml:space="preserve"> verifica-se que </w:t>
      </w:r>
      <w:r w:rsidR="00F85477">
        <w:rPr>
          <w:rFonts w:ascii="Arial" w:hAnsi="Arial" w:cs="Arial"/>
          <w:sz w:val="24"/>
          <w:szCs w:val="24"/>
        </w:rPr>
        <w:t xml:space="preserve">o Poder Executivo requer autorização legislativa para proceder na alteração da composição do referido </w:t>
      </w:r>
      <w:r w:rsidR="00CC3FC2">
        <w:rPr>
          <w:rFonts w:ascii="Arial" w:hAnsi="Arial" w:cs="Arial"/>
          <w:sz w:val="24"/>
          <w:szCs w:val="24"/>
        </w:rPr>
        <w:t>Conselho Municipal de Assistência Social – CMAS</w:t>
      </w:r>
      <w:r w:rsidR="00F85477">
        <w:rPr>
          <w:rFonts w:ascii="Arial" w:hAnsi="Arial" w:cs="Arial"/>
          <w:sz w:val="24"/>
          <w:szCs w:val="24"/>
        </w:rPr>
        <w:t xml:space="preserve">, </w:t>
      </w:r>
      <w:r w:rsidR="00CC3FC2">
        <w:rPr>
          <w:rFonts w:ascii="Arial" w:hAnsi="Arial" w:cs="Arial"/>
          <w:sz w:val="24"/>
          <w:szCs w:val="24"/>
        </w:rPr>
        <w:t>passando de 11(onze) membros hoje existentes, para 12(doze) membros, com a inclusão de</w:t>
      </w:r>
      <w:r w:rsidR="00F85477">
        <w:rPr>
          <w:rFonts w:ascii="Arial" w:hAnsi="Arial" w:cs="Arial"/>
          <w:sz w:val="24"/>
          <w:szCs w:val="24"/>
        </w:rPr>
        <w:t xml:space="preserve"> representante da Secretaria Municipal da Agricultura, de forma a tornar a composição paritária</w:t>
      </w:r>
      <w:r w:rsidR="00CC3FC2">
        <w:rPr>
          <w:rFonts w:ascii="Arial" w:hAnsi="Arial" w:cs="Arial"/>
          <w:sz w:val="24"/>
          <w:szCs w:val="24"/>
        </w:rPr>
        <w:t xml:space="preserve"> </w:t>
      </w:r>
      <w:r w:rsidR="00F85477">
        <w:rPr>
          <w:rFonts w:ascii="Arial" w:hAnsi="Arial" w:cs="Arial"/>
          <w:sz w:val="24"/>
          <w:szCs w:val="24"/>
        </w:rPr>
        <w:t>entre governo e sociedade civil.</w:t>
      </w:r>
    </w:p>
    <w:p w:rsidR="00794D2D" w:rsidRDefault="00F85477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1448F">
        <w:rPr>
          <w:rFonts w:ascii="Arial" w:hAnsi="Arial" w:cs="Arial"/>
          <w:sz w:val="24"/>
          <w:szCs w:val="24"/>
        </w:rPr>
        <w:t xml:space="preserve">Motiva sua iniciativa na </w:t>
      </w:r>
      <w:r w:rsidR="00CC3FC2">
        <w:rPr>
          <w:rFonts w:ascii="Arial" w:hAnsi="Arial" w:cs="Arial"/>
          <w:sz w:val="24"/>
          <w:szCs w:val="24"/>
        </w:rPr>
        <w:t>exigência da lei Federal nº 8.742/93</w:t>
      </w:r>
      <w:r w:rsidR="00794D2D">
        <w:rPr>
          <w:rFonts w:ascii="Arial" w:hAnsi="Arial" w:cs="Arial"/>
          <w:sz w:val="24"/>
          <w:szCs w:val="24"/>
        </w:rPr>
        <w:t>, que dispõe sobre a organização da Assistência Social a nível federal, a qual estabelece como condição para repasses de verbas aos municípios, a efetiva instituição e funcionamento de Conselho de Assistência Social, de composição paritária entre governo e sociedade civil.</w:t>
      </w:r>
    </w:p>
    <w:p w:rsidR="00576B09" w:rsidRDefault="00794D2D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="002D5E05">
        <w:rPr>
          <w:rFonts w:ascii="Arial" w:hAnsi="Arial" w:cs="Arial"/>
          <w:sz w:val="24"/>
          <w:szCs w:val="24"/>
        </w:rPr>
        <w:t>complementa que</w:t>
      </w:r>
      <w:r>
        <w:rPr>
          <w:rFonts w:ascii="Arial" w:hAnsi="Arial" w:cs="Arial"/>
          <w:sz w:val="24"/>
          <w:szCs w:val="24"/>
        </w:rPr>
        <w:t>, no sentido de evitar que o município de Gramado seja preterido pelo Governo Federal</w:t>
      </w:r>
      <w:r w:rsidR="002D5E05">
        <w:rPr>
          <w:rFonts w:ascii="Arial" w:hAnsi="Arial" w:cs="Arial"/>
          <w:sz w:val="24"/>
          <w:szCs w:val="24"/>
        </w:rPr>
        <w:t xml:space="preserve"> em eventual sustação no repasse dos </w:t>
      </w:r>
      <w:r w:rsidR="002D5E05">
        <w:rPr>
          <w:rFonts w:ascii="Arial" w:hAnsi="Arial" w:cs="Arial"/>
          <w:sz w:val="24"/>
          <w:szCs w:val="24"/>
        </w:rPr>
        <w:lastRenderedPageBreak/>
        <w:t xml:space="preserve">recursos vinculados que objetivam atendimento da comunidade </w:t>
      </w:r>
      <w:proofErr w:type="spellStart"/>
      <w:r w:rsidR="002D5E05">
        <w:rPr>
          <w:rFonts w:ascii="Arial" w:hAnsi="Arial" w:cs="Arial"/>
          <w:sz w:val="24"/>
          <w:szCs w:val="24"/>
        </w:rPr>
        <w:t>gramadense</w:t>
      </w:r>
      <w:proofErr w:type="spellEnd"/>
      <w:r w:rsidR="002D5E05">
        <w:rPr>
          <w:rFonts w:ascii="Arial" w:hAnsi="Arial" w:cs="Arial"/>
          <w:sz w:val="24"/>
          <w:szCs w:val="24"/>
        </w:rPr>
        <w:t xml:space="preserve">, </w:t>
      </w:r>
      <w:r w:rsidR="00576B09">
        <w:rPr>
          <w:rFonts w:ascii="Arial" w:hAnsi="Arial" w:cs="Arial"/>
          <w:sz w:val="24"/>
          <w:szCs w:val="24"/>
        </w:rPr>
        <w:t>a alteração se faz necessária.</w:t>
      </w:r>
    </w:p>
    <w:p w:rsidR="00576B09" w:rsidRDefault="00576B09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breve relato dos fatos.</w:t>
      </w:r>
    </w:p>
    <w:p w:rsidR="00576B09" w:rsidRDefault="00576B09" w:rsidP="00576B0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Atendidos os requisitos regimentais, está a proposição ora </w:t>
      </w:r>
      <w:proofErr w:type="gramStart"/>
      <w:r>
        <w:rPr>
          <w:rFonts w:ascii="Arial" w:hAnsi="Arial" w:cs="Arial"/>
          <w:sz w:val="24"/>
          <w:szCs w:val="24"/>
        </w:rPr>
        <w:t>referida,  em</w:t>
      </w:r>
      <w:proofErr w:type="gramEnd"/>
      <w:r>
        <w:rPr>
          <w:rFonts w:ascii="Arial" w:hAnsi="Arial" w:cs="Arial"/>
          <w:sz w:val="24"/>
          <w:szCs w:val="24"/>
        </w:rPr>
        <w:t xml:space="preserve"> condições de análise.</w:t>
      </w:r>
    </w:p>
    <w:p w:rsidR="00F85477" w:rsidRDefault="00F85477" w:rsidP="00F8547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que basta a relatar. Passa-se a fundamentar: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B4729" w:rsidRPr="00EB4729" w:rsidRDefault="00EB4729" w:rsidP="0091448F">
      <w:pPr>
        <w:spacing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EB4729">
        <w:rPr>
          <w:rFonts w:ascii="Arial" w:hAnsi="Arial" w:cs="Arial"/>
          <w:b/>
          <w:sz w:val="24"/>
          <w:szCs w:val="24"/>
        </w:rPr>
        <w:t>II – DA ANÁLISE JURÍDICA</w:t>
      </w:r>
    </w:p>
    <w:p w:rsidR="0091448F" w:rsidRDefault="00B512CB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2.1 </w:t>
      </w:r>
      <w:r w:rsidR="00B63832">
        <w:rPr>
          <w:rFonts w:ascii="Arial" w:hAnsi="Arial" w:cs="Arial"/>
          <w:b/>
          <w:color w:val="000000" w:themeColor="text1"/>
          <w:sz w:val="24"/>
          <w:szCs w:val="24"/>
        </w:rPr>
        <w:t>Da</w:t>
      </w:r>
      <w:r w:rsidR="0091448F" w:rsidRPr="00B63832">
        <w:rPr>
          <w:rFonts w:ascii="Arial" w:hAnsi="Arial" w:cs="Arial"/>
          <w:b/>
          <w:color w:val="000000" w:themeColor="text1"/>
          <w:sz w:val="24"/>
          <w:szCs w:val="24"/>
        </w:rPr>
        <w:t xml:space="preserve"> Técnica Legislativa</w:t>
      </w:r>
      <w:r w:rsidR="00B63832" w:rsidRPr="00B63832">
        <w:rPr>
          <w:rFonts w:ascii="Arial" w:hAnsi="Arial" w:cs="Arial"/>
          <w:b/>
          <w:color w:val="000000" w:themeColor="text1"/>
          <w:sz w:val="24"/>
          <w:szCs w:val="24"/>
        </w:rPr>
        <w:t xml:space="preserve"> adequada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Destarte, para que o processo legislativo possa ter a qualidade exigida pelos cidadãos, necessário que seja tecnicamente adequado. A Constituição Federal previu em seu artigo 59, parágrafo único,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  disporá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sobre a elaboração, redação, alteração e consolidação das leis, normatizado através da Lei Complementar nº 95/1998. </w:t>
      </w:r>
    </w:p>
    <w:p w:rsidR="006C520F" w:rsidRDefault="0091448F" w:rsidP="0091448F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Neste quesito, observamos que o presente PL precisa de ajustes para adequação as normas técnicas da LC nº 95/98, </w:t>
      </w:r>
      <w:r w:rsidR="006C52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quais sejam:</w:t>
      </w:r>
    </w:p>
    <w:p w:rsidR="0091448F" w:rsidRDefault="006C520F" w:rsidP="0091448F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citação de “parágrafo”, exceto “parágrafo único”, deve sempre usar a numeração ordinal e o símbolo “§”</w:t>
      </w:r>
      <w:r w:rsidR="00914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As alíneas devem sempre ser referidas com letra minúscula, seguida de parênteses. A descrição do art. 1º não segue estes requisitos, e ainda que não vá constar na redação final, está citado neste Projeto de lei, razão pela qual registramos a referida observação.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1D78" w:rsidRDefault="00FB1D78" w:rsidP="0091448F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1448F" w:rsidRDefault="00FB1D78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2.2 Da Competência e Iniciativa</w:t>
      </w:r>
    </w:p>
    <w:p w:rsidR="00CA6AE5" w:rsidRPr="00CA6AE5" w:rsidRDefault="00CA6AE5" w:rsidP="00CA6AE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versa sobre composição de Conselho Municipal e</w:t>
      </w:r>
      <w:r w:rsidRPr="00CA6AE5">
        <w:rPr>
          <w:rFonts w:ascii="Arial" w:hAnsi="Arial" w:cs="Arial"/>
          <w:sz w:val="24"/>
          <w:szCs w:val="24"/>
        </w:rPr>
        <w:t xml:space="preserve"> encontra-se em conformidade com as normas legais vigentes, por ser de competência do </w:t>
      </w:r>
      <w:r>
        <w:rPr>
          <w:rFonts w:ascii="Arial" w:hAnsi="Arial" w:cs="Arial"/>
          <w:sz w:val="24"/>
          <w:szCs w:val="24"/>
        </w:rPr>
        <w:t>Município</w:t>
      </w:r>
      <w:r w:rsidRPr="00CA6AE5">
        <w:rPr>
          <w:rFonts w:ascii="Arial" w:hAnsi="Arial" w:cs="Arial"/>
          <w:sz w:val="24"/>
          <w:szCs w:val="24"/>
        </w:rPr>
        <w:t xml:space="preserve"> normatização </w:t>
      </w:r>
      <w:r w:rsidR="00B2732A">
        <w:rPr>
          <w:rFonts w:ascii="Arial" w:hAnsi="Arial" w:cs="Arial"/>
          <w:sz w:val="24"/>
          <w:szCs w:val="24"/>
        </w:rPr>
        <w:t>de</w:t>
      </w:r>
      <w:r w:rsidRPr="00CA6AE5">
        <w:rPr>
          <w:rFonts w:ascii="Arial" w:hAnsi="Arial" w:cs="Arial"/>
          <w:sz w:val="24"/>
          <w:szCs w:val="24"/>
        </w:rPr>
        <w:t xml:space="preserve"> matéria que disponha sobre </w:t>
      </w:r>
      <w:r>
        <w:rPr>
          <w:rFonts w:ascii="Arial" w:hAnsi="Arial" w:cs="Arial"/>
          <w:sz w:val="24"/>
          <w:szCs w:val="24"/>
        </w:rPr>
        <w:t xml:space="preserve">criação de Conselhos Municipais (art. 6º, </w:t>
      </w:r>
      <w:r w:rsidR="00B2732A">
        <w:rPr>
          <w:rFonts w:ascii="Arial" w:hAnsi="Arial" w:cs="Arial"/>
          <w:sz w:val="24"/>
          <w:szCs w:val="24"/>
        </w:rPr>
        <w:t xml:space="preserve">XXIII, Lei Orgânica Municipal), sendo ainda competência privativa do Prefeito Municipal dispor sobre a organização e o funcionamento da administração municipal (art. 60, VI, Lei Orgânica Municipal), </w:t>
      </w:r>
      <w:r w:rsidRPr="00CA6AE5">
        <w:rPr>
          <w:rFonts w:ascii="Arial" w:hAnsi="Arial" w:cs="Arial"/>
          <w:sz w:val="24"/>
          <w:szCs w:val="24"/>
        </w:rPr>
        <w:t>NÃO se registrando, desta forma, qualquer vício de origem na presente propositura, nos termos do art. 61, §1º, II, ‘a’, da CF, aplicado por simetria</w:t>
      </w:r>
      <w:r w:rsidR="00B2732A">
        <w:rPr>
          <w:rFonts w:ascii="Arial" w:hAnsi="Arial" w:cs="Arial"/>
          <w:sz w:val="24"/>
          <w:szCs w:val="24"/>
        </w:rPr>
        <w:t>.</w:t>
      </w:r>
      <w:r w:rsidRPr="00CA6AE5">
        <w:rPr>
          <w:rFonts w:ascii="Arial" w:hAnsi="Arial" w:cs="Arial"/>
          <w:sz w:val="24"/>
          <w:szCs w:val="24"/>
        </w:rPr>
        <w:t xml:space="preserve"> </w:t>
      </w:r>
    </w:p>
    <w:p w:rsidR="0091448F" w:rsidRDefault="00CA6AE5" w:rsidP="00CA6AE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CA6AE5">
        <w:rPr>
          <w:rFonts w:ascii="Arial" w:hAnsi="Arial" w:cs="Arial"/>
          <w:sz w:val="24"/>
          <w:szCs w:val="24"/>
        </w:rPr>
        <w:t xml:space="preserve">Assim sendo, entendemos ser cabível ao Chefe do Poder Executivo iniciar o processo legislativo nos termos apresentados. </w:t>
      </w:r>
    </w:p>
    <w:p w:rsidR="00B2732A" w:rsidRDefault="00B2732A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1448F" w:rsidRPr="00B2732A" w:rsidRDefault="00B2732A" w:rsidP="0091448F">
      <w:pPr>
        <w:spacing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B2732A">
        <w:rPr>
          <w:rFonts w:ascii="Arial" w:hAnsi="Arial" w:cs="Arial"/>
          <w:b/>
          <w:sz w:val="24"/>
          <w:szCs w:val="24"/>
        </w:rPr>
        <w:t>2.3 Da</w:t>
      </w:r>
      <w:r w:rsidR="0091448F" w:rsidRPr="00B273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constitucionalidade e legalidade</w:t>
      </w:r>
    </w:p>
    <w:p w:rsidR="0091448F" w:rsidRDefault="0091448F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o artigo 30, III, da Constituição Federal, está assim positivado a competência municipal:</w:t>
      </w:r>
    </w:p>
    <w:p w:rsidR="0091448F" w:rsidRDefault="0091448F" w:rsidP="0091448F">
      <w:pPr>
        <w:spacing w:after="0" w:line="360" w:lineRule="auto"/>
        <w:ind w:firstLine="226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"Art. 30. Compete aos Municípios:</w:t>
      </w:r>
    </w:p>
    <w:p w:rsidR="0091448F" w:rsidRDefault="0091448F" w:rsidP="0091448F">
      <w:pPr>
        <w:spacing w:after="0" w:line="360" w:lineRule="auto"/>
        <w:ind w:firstLine="226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 – </w:t>
      </w:r>
      <w:proofErr w:type="gramStart"/>
      <w:r>
        <w:rPr>
          <w:rFonts w:ascii="Arial" w:hAnsi="Arial" w:cs="Arial"/>
          <w:i/>
        </w:rPr>
        <w:t>legislar</w:t>
      </w:r>
      <w:proofErr w:type="gramEnd"/>
      <w:r>
        <w:rPr>
          <w:rFonts w:ascii="Arial" w:hAnsi="Arial" w:cs="Arial"/>
          <w:i/>
        </w:rPr>
        <w:t xml:space="preserve"> sobre assuntos de interesse local;</w:t>
      </w:r>
    </w:p>
    <w:p w:rsidR="0091448F" w:rsidRDefault="0091448F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2732A" w:rsidRDefault="0091448F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referido projeto de lei, ora em análise, pretende a</w:t>
      </w:r>
      <w:r w:rsidR="00B2732A">
        <w:rPr>
          <w:rFonts w:ascii="Arial" w:hAnsi="Arial" w:cs="Arial"/>
          <w:sz w:val="24"/>
          <w:szCs w:val="24"/>
        </w:rPr>
        <w:t xml:space="preserve">dequar a estrutura de um Conselho Municipal, para atender exigência de lei federal, ainda que possa (temporariamente) conflitar com a lei Orgânica Municipal, que hoje estabelece no seu art. 88, disposição de membros em nº ímpar. </w:t>
      </w:r>
    </w:p>
    <w:p w:rsidR="0091448F" w:rsidRDefault="00B2732A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Orgânica Municipal passa por revisão, através de comissão instituída para este fim, já com pre</w:t>
      </w:r>
      <w:r w:rsidR="00EB4729">
        <w:rPr>
          <w:rFonts w:ascii="Arial" w:hAnsi="Arial" w:cs="Arial"/>
          <w:sz w:val="24"/>
          <w:szCs w:val="24"/>
        </w:rPr>
        <w:t>visão de alteração deste artigo no Projeto, possibilitando a criação de conselhos com participação paritária, quando a lei maior assim o exigir.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4729" w:rsidRDefault="00EB4729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Assim, esta inconsistência já está sendo tratada e será objeto de alteração ainda no exercício de 2016, ao término dos trabalhos de revisão que acontecem na Casa Legislativa, em est</w:t>
      </w:r>
      <w:r w:rsidR="00FB4672">
        <w:rPr>
          <w:rFonts w:ascii="Arial" w:hAnsi="Arial" w:cs="Arial"/>
          <w:sz w:val="24"/>
          <w:szCs w:val="24"/>
        </w:rPr>
        <w:t>ágio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avançado. 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</w:t>
      </w:r>
      <w:r w:rsidRPr="00EB4729">
        <w:rPr>
          <w:rFonts w:ascii="Arial" w:hAnsi="Arial" w:cs="Arial"/>
          <w:sz w:val="24"/>
          <w:szCs w:val="24"/>
        </w:rPr>
        <w:t>à legalidade</w:t>
      </w:r>
      <w:r w:rsidRPr="00EB4729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observância às leis infraconstitucionais: 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Lei Orgânica Municipal, vejamos: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“Art. 6º. Compete ao Município, no exercício de sua autonomia:</w:t>
      </w:r>
    </w:p>
    <w:p w:rsidR="0091448F" w:rsidRDefault="0091448F" w:rsidP="0091448F">
      <w:pPr>
        <w:spacing w:after="0" w:line="360" w:lineRule="auto"/>
        <w:ind w:firstLine="226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(...)</w:t>
      </w:r>
    </w:p>
    <w:p w:rsidR="0091448F" w:rsidRDefault="0091448F" w:rsidP="0091448F">
      <w:pPr>
        <w:spacing w:after="0" w:line="360" w:lineRule="auto"/>
        <w:ind w:firstLine="226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XXIV- legislar sobre assuntos de interesse local;"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1448F" w:rsidRDefault="0091448F" w:rsidP="0091448F">
      <w:pPr>
        <w:spacing w:after="0" w:line="360" w:lineRule="auto"/>
        <w:ind w:firstLine="226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"</w:t>
      </w:r>
      <w:r>
        <w:rPr>
          <w:rFonts w:ascii="Arial" w:hAnsi="Arial" w:cs="Arial"/>
          <w:i/>
        </w:rPr>
        <w:t>Art. 8º. Compete, ainda, ao Município, concorrentemente com a União ou Estado, ou supletivamente a eles:</w:t>
      </w:r>
    </w:p>
    <w:p w:rsidR="0091448F" w:rsidRDefault="0091448F" w:rsidP="0091448F">
      <w:pPr>
        <w:spacing w:after="0" w:line="360" w:lineRule="auto"/>
        <w:ind w:firstLine="226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 – zelar pela saúde, higiene, </w:t>
      </w:r>
      <w:r w:rsidRPr="00EB4729">
        <w:rPr>
          <w:rFonts w:ascii="Arial" w:hAnsi="Arial" w:cs="Arial"/>
          <w:i/>
        </w:rPr>
        <w:t xml:space="preserve">segurança </w:t>
      </w:r>
      <w:r>
        <w:rPr>
          <w:rFonts w:ascii="Arial" w:hAnsi="Arial" w:cs="Arial"/>
          <w:i/>
        </w:rPr>
        <w:t xml:space="preserve">e </w:t>
      </w:r>
      <w:r w:rsidRPr="00EB4729">
        <w:rPr>
          <w:rFonts w:ascii="Arial" w:hAnsi="Arial" w:cs="Arial"/>
          <w:b/>
          <w:i/>
        </w:rPr>
        <w:t xml:space="preserve">assistência </w:t>
      </w:r>
      <w:proofErr w:type="gramStart"/>
      <w:r w:rsidRPr="00EB4729">
        <w:rPr>
          <w:rFonts w:ascii="Arial" w:hAnsi="Arial" w:cs="Arial"/>
          <w:b/>
          <w:i/>
        </w:rPr>
        <w:t>pública;”</w:t>
      </w:r>
      <w:proofErr w:type="gramEnd"/>
    </w:p>
    <w:p w:rsidR="0091448F" w:rsidRDefault="0091448F" w:rsidP="0091448F">
      <w:pPr>
        <w:spacing w:after="0" w:line="360" w:lineRule="auto"/>
        <w:ind w:firstLine="2268"/>
        <w:jc w:val="both"/>
        <w:rPr>
          <w:rFonts w:ascii="Arial" w:hAnsi="Arial" w:cs="Arial"/>
          <w:i/>
        </w:rPr>
      </w:pPr>
    </w:p>
    <w:p w:rsidR="00EB4729" w:rsidRDefault="00EB4729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B4729">
        <w:rPr>
          <w:rFonts w:ascii="Arial" w:hAnsi="Arial" w:cs="Arial"/>
          <w:sz w:val="24"/>
          <w:szCs w:val="24"/>
        </w:rPr>
        <w:t xml:space="preserve">Desta forma, </w:t>
      </w:r>
      <w:r>
        <w:rPr>
          <w:rFonts w:ascii="Arial" w:hAnsi="Arial" w:cs="Arial"/>
          <w:sz w:val="24"/>
          <w:szCs w:val="24"/>
        </w:rPr>
        <w:t>atestamos que o presente PL atende a legalidade e constitucionalidade, dentro das normas legais vigentes.</w:t>
      </w:r>
    </w:p>
    <w:p w:rsidR="00EB4729" w:rsidRDefault="00EB4729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56CD5" w:rsidRDefault="00056CD5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B4729" w:rsidRPr="00EB4729" w:rsidRDefault="00EB4729" w:rsidP="0091448F">
      <w:pPr>
        <w:spacing w:after="0"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EB4729">
        <w:rPr>
          <w:rFonts w:ascii="Arial" w:hAnsi="Arial" w:cs="Arial"/>
          <w:b/>
          <w:sz w:val="24"/>
          <w:szCs w:val="24"/>
        </w:rPr>
        <w:t>III - CONCLUSÃO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todo o exposto, no aspecto jurídico, em observância aos princípios constitucionais vigentes, conclui-se que o PL </w:t>
      </w:r>
      <w:r w:rsidR="00BB5D1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/2017</w:t>
      </w:r>
      <w:r w:rsidR="00BB5D18">
        <w:rPr>
          <w:rFonts w:ascii="Arial" w:hAnsi="Arial" w:cs="Arial"/>
          <w:sz w:val="24"/>
          <w:szCs w:val="24"/>
        </w:rPr>
        <w:t xml:space="preserve"> atende as normas</w:t>
      </w:r>
      <w:r>
        <w:rPr>
          <w:rFonts w:ascii="Arial" w:hAnsi="Arial" w:cs="Arial"/>
          <w:sz w:val="24"/>
          <w:szCs w:val="24"/>
        </w:rPr>
        <w:t xml:space="preserve"> legais vigentes, estando presentes a legalidade e constitucionalidade, motivo pelo qual exara </w:t>
      </w:r>
      <w:r>
        <w:rPr>
          <w:rFonts w:ascii="Arial" w:hAnsi="Arial" w:cs="Arial"/>
          <w:b/>
          <w:sz w:val="24"/>
          <w:szCs w:val="24"/>
        </w:rPr>
        <w:t>Parecer jurídico favorável</w:t>
      </w:r>
      <w:r w:rsidR="00BB5D18">
        <w:rPr>
          <w:rFonts w:ascii="Arial" w:hAnsi="Arial" w:cs="Arial"/>
          <w:b/>
          <w:sz w:val="24"/>
          <w:szCs w:val="24"/>
        </w:rPr>
        <w:t xml:space="preserve"> </w:t>
      </w:r>
      <w:r w:rsidR="00056CD5" w:rsidRPr="00056CD5">
        <w:rPr>
          <w:rFonts w:ascii="Arial" w:hAnsi="Arial" w:cs="Arial"/>
          <w:sz w:val="24"/>
          <w:szCs w:val="24"/>
        </w:rPr>
        <w:t>à</w:t>
      </w:r>
      <w:r w:rsidR="00BB5D18" w:rsidRPr="00BB5D18">
        <w:rPr>
          <w:rFonts w:ascii="Arial" w:hAnsi="Arial" w:cs="Arial"/>
          <w:sz w:val="24"/>
          <w:szCs w:val="24"/>
        </w:rPr>
        <w:t xml:space="preserve"> sua tramitação</w:t>
      </w:r>
      <w:r w:rsidRPr="00BB5D18">
        <w:rPr>
          <w:rFonts w:ascii="Arial" w:hAnsi="Arial" w:cs="Arial"/>
          <w:sz w:val="24"/>
          <w:szCs w:val="24"/>
        </w:rPr>
        <w:t>.</w:t>
      </w:r>
    </w:p>
    <w:p w:rsidR="00BB5D18" w:rsidRDefault="0091448F" w:rsidP="00BB5D1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Destarte, encaminha-se a Comissão de Constituição, Justiça e Redação para posterior deliberação</w:t>
      </w:r>
      <w:r w:rsidR="00056CD5">
        <w:rPr>
          <w:rFonts w:ascii="Arial" w:hAnsi="Arial" w:cs="Arial"/>
          <w:sz w:val="24"/>
          <w:szCs w:val="24"/>
        </w:rPr>
        <w:t>, e</w:t>
      </w:r>
      <w:r w:rsidR="00BB5D18">
        <w:rPr>
          <w:rFonts w:ascii="Arial" w:hAnsi="Arial" w:cs="Arial"/>
          <w:sz w:val="24"/>
          <w:szCs w:val="24"/>
        </w:rPr>
        <w:t xml:space="preserve"> aos nobres </w:t>
      </w:r>
      <w:r w:rsidR="00BB5D18" w:rsidRPr="00056CD5">
        <w:rPr>
          <w:rFonts w:ascii="Arial" w:hAnsi="Arial" w:cs="Arial"/>
          <w:i/>
          <w:sz w:val="24"/>
          <w:szCs w:val="24"/>
        </w:rPr>
        <w:t>edis</w:t>
      </w:r>
      <w:r w:rsidR="00BB5D18">
        <w:rPr>
          <w:rFonts w:ascii="Arial" w:hAnsi="Arial" w:cs="Arial"/>
          <w:sz w:val="24"/>
          <w:szCs w:val="24"/>
        </w:rPr>
        <w:t xml:space="preserve"> para análise de mérito, no que couber.</w:t>
      </w:r>
    </w:p>
    <w:p w:rsidR="00BB5D18" w:rsidRDefault="00BB5D18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parecer que submeto à consideração.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1448F" w:rsidRDefault="0091448F" w:rsidP="0091448F">
      <w:pPr>
        <w:spacing w:line="360" w:lineRule="auto"/>
        <w:ind w:left="1272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BB5D1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maio de 2017.</w:t>
      </w:r>
    </w:p>
    <w:p w:rsidR="0091448F" w:rsidRDefault="0091448F" w:rsidP="0091448F">
      <w:pPr>
        <w:spacing w:line="360" w:lineRule="auto"/>
        <w:ind w:left="1272" w:firstLine="2268"/>
        <w:jc w:val="both"/>
        <w:rPr>
          <w:rFonts w:ascii="Arial" w:hAnsi="Arial" w:cs="Arial"/>
          <w:sz w:val="24"/>
          <w:szCs w:val="24"/>
        </w:rPr>
      </w:pPr>
    </w:p>
    <w:p w:rsidR="0091448F" w:rsidRDefault="0091448F" w:rsidP="0091448F">
      <w:pPr>
        <w:spacing w:line="240" w:lineRule="auto"/>
        <w:ind w:firstLine="22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Sônia Regina </w:t>
      </w:r>
      <w:proofErr w:type="spellStart"/>
      <w:r>
        <w:rPr>
          <w:rFonts w:ascii="Arial" w:hAnsi="Arial" w:cs="Arial"/>
          <w:sz w:val="24"/>
          <w:szCs w:val="24"/>
        </w:rPr>
        <w:t>Sperb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Molon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1448F" w:rsidRDefault="0091448F" w:rsidP="0091448F">
      <w:pPr>
        <w:spacing w:line="240" w:lineRule="auto"/>
        <w:ind w:firstLine="22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Procuradora Geral</w:t>
      </w:r>
    </w:p>
    <w:p w:rsidR="0091448F" w:rsidRDefault="0091448F" w:rsidP="0091448F">
      <w:pPr>
        <w:spacing w:line="240" w:lineRule="auto"/>
        <w:ind w:firstLine="2268"/>
        <w:jc w:val="center"/>
      </w:pPr>
      <w:r>
        <w:rPr>
          <w:rFonts w:ascii="Arial" w:hAnsi="Arial" w:cs="Arial"/>
          <w:sz w:val="24"/>
          <w:szCs w:val="24"/>
        </w:rPr>
        <w:t>OAB/RS 68.402</w:t>
      </w:r>
    </w:p>
    <w:p w:rsidR="004B3AD7" w:rsidRPr="00A92F14" w:rsidRDefault="004B3AD7" w:rsidP="00A92F14"/>
    <w:sectPr w:rsidR="004B3AD7" w:rsidRPr="00A92F14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C6" w:rsidRDefault="00241DC6" w:rsidP="00E87D4A">
      <w:pPr>
        <w:spacing w:after="0" w:line="240" w:lineRule="auto"/>
      </w:pPr>
      <w:r>
        <w:separator/>
      </w:r>
    </w:p>
  </w:endnote>
  <w:endnote w:type="continuationSeparator" w:id="0">
    <w:p w:rsidR="00241DC6" w:rsidRDefault="00241DC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C6" w:rsidRDefault="00241DC6" w:rsidP="00E87D4A">
      <w:pPr>
        <w:spacing w:after="0" w:line="240" w:lineRule="auto"/>
      </w:pPr>
      <w:r>
        <w:separator/>
      </w:r>
    </w:p>
  </w:footnote>
  <w:footnote w:type="continuationSeparator" w:id="0">
    <w:p w:rsidR="00241DC6" w:rsidRDefault="00241DC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052A"/>
    <w:rsid w:val="00024064"/>
    <w:rsid w:val="00036C3F"/>
    <w:rsid w:val="00056CD5"/>
    <w:rsid w:val="0009105B"/>
    <w:rsid w:val="0014679D"/>
    <w:rsid w:val="001707CC"/>
    <w:rsid w:val="00177631"/>
    <w:rsid w:val="001C02CE"/>
    <w:rsid w:val="00210690"/>
    <w:rsid w:val="00225350"/>
    <w:rsid w:val="00232556"/>
    <w:rsid w:val="0023638C"/>
    <w:rsid w:val="00237F45"/>
    <w:rsid w:val="00241611"/>
    <w:rsid w:val="00241DC6"/>
    <w:rsid w:val="0029342D"/>
    <w:rsid w:val="002A6D45"/>
    <w:rsid w:val="002D5E05"/>
    <w:rsid w:val="00347EC6"/>
    <w:rsid w:val="003900EA"/>
    <w:rsid w:val="003B6015"/>
    <w:rsid w:val="003C5C0E"/>
    <w:rsid w:val="003F2C52"/>
    <w:rsid w:val="0040073F"/>
    <w:rsid w:val="004206B3"/>
    <w:rsid w:val="004B3AD7"/>
    <w:rsid w:val="004E74BA"/>
    <w:rsid w:val="004F1CB0"/>
    <w:rsid w:val="00576B09"/>
    <w:rsid w:val="005C193C"/>
    <w:rsid w:val="006245C2"/>
    <w:rsid w:val="0063189E"/>
    <w:rsid w:val="006B07A0"/>
    <w:rsid w:val="006C520F"/>
    <w:rsid w:val="006C75A8"/>
    <w:rsid w:val="00794D2D"/>
    <w:rsid w:val="007A00E7"/>
    <w:rsid w:val="0088278C"/>
    <w:rsid w:val="008B2DA6"/>
    <w:rsid w:val="008E38C6"/>
    <w:rsid w:val="008F0853"/>
    <w:rsid w:val="0091448F"/>
    <w:rsid w:val="00917370"/>
    <w:rsid w:val="00921A7E"/>
    <w:rsid w:val="009469C7"/>
    <w:rsid w:val="009535B9"/>
    <w:rsid w:val="00A0703B"/>
    <w:rsid w:val="00A1522C"/>
    <w:rsid w:val="00A244EE"/>
    <w:rsid w:val="00A32117"/>
    <w:rsid w:val="00A83A0D"/>
    <w:rsid w:val="00A90B79"/>
    <w:rsid w:val="00A92F14"/>
    <w:rsid w:val="00B03C25"/>
    <w:rsid w:val="00B103E4"/>
    <w:rsid w:val="00B2732A"/>
    <w:rsid w:val="00B466FD"/>
    <w:rsid w:val="00B512CB"/>
    <w:rsid w:val="00B63832"/>
    <w:rsid w:val="00BA5D0D"/>
    <w:rsid w:val="00BB2345"/>
    <w:rsid w:val="00BB5D18"/>
    <w:rsid w:val="00BD5B6A"/>
    <w:rsid w:val="00C2265C"/>
    <w:rsid w:val="00C255EA"/>
    <w:rsid w:val="00C64746"/>
    <w:rsid w:val="00C95FF9"/>
    <w:rsid w:val="00CA6AE5"/>
    <w:rsid w:val="00CC3FC2"/>
    <w:rsid w:val="00CC4424"/>
    <w:rsid w:val="00CC7347"/>
    <w:rsid w:val="00CD1A7D"/>
    <w:rsid w:val="00CD1C84"/>
    <w:rsid w:val="00D115C2"/>
    <w:rsid w:val="00DE73CE"/>
    <w:rsid w:val="00DF5B22"/>
    <w:rsid w:val="00DF72A6"/>
    <w:rsid w:val="00E550D3"/>
    <w:rsid w:val="00E87D4A"/>
    <w:rsid w:val="00EB3658"/>
    <w:rsid w:val="00EB4729"/>
    <w:rsid w:val="00EC47E6"/>
    <w:rsid w:val="00F330F5"/>
    <w:rsid w:val="00F450CC"/>
    <w:rsid w:val="00F45FC2"/>
    <w:rsid w:val="00F85477"/>
    <w:rsid w:val="00FB1D78"/>
    <w:rsid w:val="00FB4672"/>
    <w:rsid w:val="00FC3486"/>
    <w:rsid w:val="00FF1085"/>
    <w:rsid w:val="00FF1693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E1DD22"/>
  <w15:docId w15:val="{EA46CD7C-1FC4-4203-BEF4-8EED61EC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7763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Sônia</cp:lastModifiedBy>
  <cp:revision>2</cp:revision>
  <cp:lastPrinted>2017-05-30T19:50:00Z</cp:lastPrinted>
  <dcterms:created xsi:type="dcterms:W3CDTF">2017-05-30T19:54:00Z</dcterms:created>
  <dcterms:modified xsi:type="dcterms:W3CDTF">2017-05-30T19:54:00Z</dcterms:modified>
</cp:coreProperties>
</file>